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0634" w14:textId="77777777" w:rsidR="0086465E" w:rsidRPr="001F6EA7" w:rsidRDefault="0086465E" w:rsidP="0086465E">
      <w:pPr>
        <w:spacing w:line="360" w:lineRule="auto"/>
        <w:jc w:val="both"/>
        <w:rPr>
          <w:rFonts w:ascii="Times New Roman" w:hAnsi="Times New Roman" w:cs="Times New Roman"/>
          <w:b/>
        </w:rPr>
      </w:pPr>
      <w:r>
        <w:rPr>
          <w:rFonts w:ascii="Times New Roman" w:hAnsi="Times New Roman" w:cs="Times New Roman"/>
          <w:b/>
        </w:rPr>
        <w:t xml:space="preserve">1. </w:t>
      </w:r>
      <w:r w:rsidRPr="001F6EA7">
        <w:rPr>
          <w:rFonts w:ascii="Times New Roman" w:hAnsi="Times New Roman" w:cs="Times New Roman"/>
          <w:b/>
        </w:rPr>
        <w:t>Introduction</w:t>
      </w:r>
    </w:p>
    <w:p w14:paraId="7CDDD5B9" w14:textId="77777777" w:rsidR="0086465E" w:rsidRPr="001F6EA7" w:rsidRDefault="0086465E" w:rsidP="0086465E">
      <w:pPr>
        <w:spacing w:line="360" w:lineRule="auto"/>
        <w:jc w:val="both"/>
        <w:rPr>
          <w:rFonts w:ascii="Times New Roman" w:hAnsi="Times New Roman" w:cs="Times New Roman"/>
          <w:b/>
        </w:rPr>
      </w:pPr>
    </w:p>
    <w:p w14:paraId="655D1C6E" w14:textId="0CC9BA09" w:rsidR="0086465E" w:rsidRDefault="0086465E" w:rsidP="0086465E">
      <w:pPr>
        <w:spacing w:line="360" w:lineRule="auto"/>
        <w:jc w:val="both"/>
        <w:rPr>
          <w:rFonts w:ascii="Times New Roman" w:hAnsi="Times New Roman" w:cs="Times New Roman"/>
        </w:rPr>
      </w:pPr>
      <w:r>
        <w:rPr>
          <w:rFonts w:ascii="Times New Roman" w:hAnsi="Times New Roman" w:cs="Times New Roman"/>
        </w:rPr>
        <w:t>The duty to provide reasonable adjustments originates in two concepts. Firstly, the social model of disability has played a key role in the development of disability rights</w:t>
      </w:r>
      <w:r>
        <w:rPr>
          <w:rStyle w:val="FootnoteReference"/>
          <w:rFonts w:ascii="Times New Roman" w:hAnsi="Times New Roman" w:cs="Times New Roman"/>
        </w:rPr>
        <w:footnoteReference w:id="1"/>
      </w:r>
      <w:r>
        <w:rPr>
          <w:rFonts w:ascii="Times New Roman" w:hAnsi="Times New Roman" w:cs="Times New Roman"/>
        </w:rPr>
        <w:t xml:space="preserve"> and is central to reasonable adjustments. </w:t>
      </w:r>
      <w:r w:rsidR="0077105A">
        <w:rPr>
          <w:rFonts w:ascii="Times New Roman" w:hAnsi="Times New Roman" w:cs="Times New Roman"/>
        </w:rPr>
        <w:t>The social model</w:t>
      </w:r>
      <w:r>
        <w:rPr>
          <w:rFonts w:ascii="Times New Roman" w:hAnsi="Times New Roman" w:cs="Times New Roman"/>
        </w:rPr>
        <w:t xml:space="preserve"> defines d</w:t>
      </w:r>
      <w:r w:rsidRPr="00BD3B8F">
        <w:rPr>
          <w:rFonts w:ascii="Times New Roman" w:hAnsi="Times New Roman" w:cs="Times New Roman"/>
        </w:rPr>
        <w:t>isabilit</w:t>
      </w:r>
      <w:r w:rsidR="00C0651E">
        <w:rPr>
          <w:rFonts w:ascii="Times New Roman" w:hAnsi="Times New Roman" w:cs="Times New Roman"/>
        </w:rPr>
        <w:t>y in terms of</w:t>
      </w:r>
      <w:r>
        <w:rPr>
          <w:rFonts w:ascii="Times New Roman" w:hAnsi="Times New Roman" w:cs="Times New Roman"/>
        </w:rPr>
        <w:t xml:space="preserve"> being</w:t>
      </w:r>
      <w:r w:rsidRPr="00BD3B8F">
        <w:rPr>
          <w:rFonts w:ascii="Times New Roman" w:hAnsi="Times New Roman" w:cs="Times New Roman"/>
        </w:rPr>
        <w:t xml:space="preserve"> unnecessarily isolated and excluded from full participation in society</w:t>
      </w:r>
      <w:r w:rsidR="00C0651E">
        <w:rPr>
          <w:rFonts w:ascii="Times New Roman" w:hAnsi="Times New Roman" w:cs="Times New Roman"/>
        </w:rPr>
        <w:t xml:space="preserve"> by its barriers. It, therefore, places</w:t>
      </w:r>
      <w:r>
        <w:rPr>
          <w:rFonts w:ascii="Times New Roman" w:hAnsi="Times New Roman" w:cs="Times New Roman"/>
        </w:rPr>
        <w:t xml:space="preserve"> less emphasis on the impairments</w:t>
      </w:r>
      <w:r w:rsidR="00C0651E">
        <w:rPr>
          <w:rFonts w:ascii="Times New Roman" w:hAnsi="Times New Roman" w:cs="Times New Roman"/>
        </w:rPr>
        <w:t xml:space="preserve"> and more on the obstacles found in society</w:t>
      </w:r>
      <w:r>
        <w:rPr>
          <w:rStyle w:val="FootnoteReference"/>
          <w:rFonts w:ascii="Times New Roman" w:hAnsi="Times New Roman" w:cs="Times New Roman"/>
        </w:rPr>
        <w:footnoteReference w:id="2"/>
      </w:r>
      <w:r>
        <w:rPr>
          <w:rFonts w:ascii="Times New Roman" w:hAnsi="Times New Roman" w:cs="Times New Roman"/>
        </w:rPr>
        <w:t>. Reasonable adjustment responds to this definition by aiming to remove such barriers allowing for equal participation in society. Secondly, this is achieved by advancement of asymmetrical substantive equality, giving preferential treatment to disabled people to limit the disadvantage they face</w:t>
      </w:r>
      <w:r>
        <w:rPr>
          <w:rStyle w:val="FootnoteReference"/>
          <w:rFonts w:ascii="Times New Roman" w:hAnsi="Times New Roman" w:cs="Times New Roman"/>
        </w:rPr>
        <w:footnoteReference w:id="3"/>
      </w:r>
      <w:r>
        <w:rPr>
          <w:rFonts w:ascii="Times New Roman" w:hAnsi="Times New Roman" w:cs="Times New Roman"/>
        </w:rPr>
        <w:t>. It is recognised that formal equality is not sufficient. Formal equality is based on the liberal principle of treating everyone alike regardless of his or her differences. Equal treatment does not take the disadvantage of having impairments into account, which has the unintended effect of giving the non-disabled person a greater opportunity to fulfil her potential. In some circumstances, disabled people may need preferential treatment as a platform to achieving equality. This concept has been clearly explained by Baroness Hale in the following way:</w:t>
      </w:r>
    </w:p>
    <w:p w14:paraId="40189C7A" w14:textId="77777777" w:rsidR="0086465E" w:rsidRDefault="0086465E" w:rsidP="0086465E">
      <w:pPr>
        <w:spacing w:line="360" w:lineRule="auto"/>
        <w:jc w:val="both"/>
        <w:rPr>
          <w:rFonts w:ascii="Times New Roman" w:hAnsi="Times New Roman" w:cs="Times New Roman"/>
        </w:rPr>
      </w:pPr>
    </w:p>
    <w:p w14:paraId="0B37B91C" w14:textId="77777777" w:rsidR="0086465E" w:rsidRPr="002E3484" w:rsidRDefault="0086465E" w:rsidP="0086465E">
      <w:pPr>
        <w:spacing w:line="360" w:lineRule="auto"/>
        <w:ind w:left="709" w:right="929"/>
        <w:jc w:val="both"/>
        <w:rPr>
          <w:rFonts w:ascii="Times New Roman" w:hAnsi="Times New Roman" w:cs="Times New Roman"/>
          <w:i/>
        </w:rPr>
      </w:pPr>
      <w:r>
        <w:rPr>
          <w:rFonts w:ascii="Times New Roman" w:hAnsi="Times New Roman" w:cs="Times New Roman"/>
          <w:i/>
        </w:rPr>
        <w:t>‘</w:t>
      </w:r>
      <w:r w:rsidRPr="002E3484">
        <w:rPr>
          <w:rFonts w:ascii="Times New Roman" w:hAnsi="Times New Roman" w:cs="Times New Roman"/>
          <w:i/>
        </w:rPr>
        <w:t>Treating men more favourably than women discriminates against women. Treating women more favourably than men discriminates against men. Pregnancy apart, the differences between the genders are generally regarded as irrelevant. The</w:t>
      </w:r>
      <w:r>
        <w:rPr>
          <w:rFonts w:ascii="Times New Roman" w:hAnsi="Times New Roman" w:cs="Times New Roman"/>
          <w:i/>
        </w:rPr>
        <w:t xml:space="preserve"> [Disability Discrimination Act 1995]</w:t>
      </w:r>
      <w:r w:rsidRPr="002E3484">
        <w:rPr>
          <w:rFonts w:ascii="Times New Roman" w:hAnsi="Times New Roman" w:cs="Times New Roman"/>
          <w:i/>
        </w:rPr>
        <w:t xml:space="preserve">, however, does not regard the differences between disabled people and others as irrelevant. It does not expect each to be treated in the same way. It expects reasonable adjustments to be </w:t>
      </w:r>
      <w:r w:rsidRPr="002E3484">
        <w:rPr>
          <w:rFonts w:ascii="Times New Roman" w:hAnsi="Times New Roman" w:cs="Times New Roman"/>
          <w:i/>
        </w:rPr>
        <w:lastRenderedPageBreak/>
        <w:t>made to cater for the special needs of disabled people. It necessarily entails an element of more favourable treatment.</w:t>
      </w:r>
      <w:r>
        <w:rPr>
          <w:rFonts w:ascii="Times New Roman" w:hAnsi="Times New Roman" w:cs="Times New Roman"/>
          <w:i/>
        </w:rPr>
        <w:t>’</w:t>
      </w:r>
      <w:r w:rsidRPr="002E3484">
        <w:rPr>
          <w:rStyle w:val="FootnoteReference"/>
          <w:rFonts w:ascii="Times New Roman" w:hAnsi="Times New Roman" w:cs="Times New Roman"/>
        </w:rPr>
        <w:t xml:space="preserve"> </w:t>
      </w:r>
      <w:r>
        <w:rPr>
          <w:rStyle w:val="FootnoteReference"/>
          <w:rFonts w:ascii="Times New Roman" w:hAnsi="Times New Roman" w:cs="Times New Roman"/>
        </w:rPr>
        <w:footnoteReference w:id="4"/>
      </w:r>
    </w:p>
    <w:p w14:paraId="73C510E7" w14:textId="77777777" w:rsidR="0086465E" w:rsidRDefault="0086465E" w:rsidP="0086465E">
      <w:pPr>
        <w:spacing w:line="360" w:lineRule="auto"/>
        <w:jc w:val="both"/>
        <w:rPr>
          <w:rFonts w:ascii="Times New Roman" w:hAnsi="Times New Roman" w:cs="Times New Roman"/>
        </w:rPr>
      </w:pPr>
    </w:p>
    <w:p w14:paraId="6A2674C9" w14:textId="20C86A6B" w:rsidR="0086465E" w:rsidRDefault="0086465E" w:rsidP="0086465E">
      <w:pPr>
        <w:spacing w:line="360" w:lineRule="auto"/>
        <w:jc w:val="both"/>
        <w:rPr>
          <w:rFonts w:ascii="Times New Roman" w:hAnsi="Times New Roman" w:cs="Times New Roman"/>
        </w:rPr>
      </w:pPr>
      <w:r>
        <w:rPr>
          <w:rFonts w:ascii="Times New Roman" w:hAnsi="Times New Roman" w:cs="Times New Roman"/>
        </w:rPr>
        <w:t>The duty to make reasonable adjustments in UK</w:t>
      </w:r>
      <w:r w:rsidRPr="001F6EA7">
        <w:rPr>
          <w:rFonts w:ascii="Times New Roman" w:hAnsi="Times New Roman" w:cs="Times New Roman"/>
        </w:rPr>
        <w:t xml:space="preserve"> law is now contained in the Equality Act 2010.  The Act, that is comprehensive and unitary across nine protected characteristics</w:t>
      </w:r>
      <w:r w:rsidRPr="001F6EA7">
        <w:rPr>
          <w:rStyle w:val="FootnoteReference"/>
          <w:rFonts w:ascii="Times New Roman" w:hAnsi="Times New Roman" w:cs="Times New Roman"/>
        </w:rPr>
        <w:footnoteReference w:id="5"/>
      </w:r>
      <w:r w:rsidRPr="001F6EA7">
        <w:rPr>
          <w:rFonts w:ascii="Times New Roman" w:hAnsi="Times New Roman" w:cs="Times New Roman"/>
        </w:rPr>
        <w:t xml:space="preserve">, harmonises and tidies up the previous duties </w:t>
      </w:r>
      <w:r w:rsidR="00C0651E">
        <w:rPr>
          <w:rFonts w:ascii="Times New Roman" w:hAnsi="Times New Roman" w:cs="Times New Roman"/>
        </w:rPr>
        <w:t>contained</w:t>
      </w:r>
      <w:r>
        <w:rPr>
          <w:rFonts w:ascii="Times New Roman" w:hAnsi="Times New Roman" w:cs="Times New Roman"/>
        </w:rPr>
        <w:t xml:space="preserve"> in </w:t>
      </w:r>
      <w:r w:rsidR="00C0651E">
        <w:rPr>
          <w:rFonts w:ascii="Times New Roman" w:hAnsi="Times New Roman" w:cs="Times New Roman"/>
        </w:rPr>
        <w:t>pieces of equality legislation. M</w:t>
      </w:r>
      <w:r w:rsidRPr="001F6EA7">
        <w:rPr>
          <w:rFonts w:ascii="Times New Roman" w:hAnsi="Times New Roman" w:cs="Times New Roman"/>
        </w:rPr>
        <w:t xml:space="preserve">ost changes </w:t>
      </w:r>
      <w:r>
        <w:rPr>
          <w:rFonts w:ascii="Times New Roman" w:hAnsi="Times New Roman" w:cs="Times New Roman"/>
        </w:rPr>
        <w:t xml:space="preserve">regarding disability </w:t>
      </w:r>
      <w:r w:rsidRPr="001F6EA7">
        <w:rPr>
          <w:rFonts w:ascii="Times New Roman" w:hAnsi="Times New Roman" w:cs="Times New Roman"/>
        </w:rPr>
        <w:t>we</w:t>
      </w:r>
      <w:r>
        <w:rPr>
          <w:rFonts w:ascii="Times New Roman" w:hAnsi="Times New Roman" w:cs="Times New Roman"/>
        </w:rPr>
        <w:t xml:space="preserve">re made in </w:t>
      </w:r>
      <w:r w:rsidR="00C0651E">
        <w:rPr>
          <w:rFonts w:ascii="Times New Roman" w:hAnsi="Times New Roman" w:cs="Times New Roman"/>
        </w:rPr>
        <w:t xml:space="preserve">the </w:t>
      </w:r>
      <w:r>
        <w:rPr>
          <w:rFonts w:ascii="Times New Roman" w:hAnsi="Times New Roman" w:cs="Times New Roman"/>
        </w:rPr>
        <w:t>non-employment conte</w:t>
      </w:r>
      <w:r w:rsidRPr="001F6EA7">
        <w:rPr>
          <w:rFonts w:ascii="Times New Roman" w:hAnsi="Times New Roman" w:cs="Times New Roman"/>
        </w:rPr>
        <w:t>x</w:t>
      </w:r>
      <w:r>
        <w:rPr>
          <w:rFonts w:ascii="Times New Roman" w:hAnsi="Times New Roman" w:cs="Times New Roman"/>
        </w:rPr>
        <w:t>t</w:t>
      </w:r>
      <w:r w:rsidRPr="001F6EA7">
        <w:rPr>
          <w:rStyle w:val="FootnoteReference"/>
          <w:rFonts w:ascii="Times New Roman" w:hAnsi="Times New Roman" w:cs="Times New Roman"/>
        </w:rPr>
        <w:footnoteReference w:id="6"/>
      </w:r>
      <w:r w:rsidRPr="001F6EA7">
        <w:rPr>
          <w:rFonts w:ascii="Times New Roman" w:hAnsi="Times New Roman" w:cs="Times New Roman"/>
        </w:rPr>
        <w:t>.</w:t>
      </w:r>
    </w:p>
    <w:p w14:paraId="605B416C" w14:textId="77777777" w:rsidR="0086465E" w:rsidRDefault="0086465E" w:rsidP="0086465E">
      <w:pPr>
        <w:spacing w:line="360" w:lineRule="auto"/>
        <w:jc w:val="both"/>
        <w:rPr>
          <w:rFonts w:ascii="Times New Roman" w:hAnsi="Times New Roman" w:cs="Times New Roman"/>
        </w:rPr>
      </w:pPr>
    </w:p>
    <w:p w14:paraId="27E9B67C" w14:textId="26E7E9BD" w:rsidR="0086465E" w:rsidRPr="001F6EA7" w:rsidRDefault="0086465E" w:rsidP="0086465E">
      <w:pPr>
        <w:spacing w:line="360" w:lineRule="auto"/>
        <w:jc w:val="both"/>
        <w:rPr>
          <w:rFonts w:ascii="Times New Roman" w:hAnsi="Times New Roman" w:cs="Times New Roman"/>
        </w:rPr>
      </w:pPr>
      <w:r>
        <w:rPr>
          <w:rFonts w:ascii="Times New Roman" w:hAnsi="Times New Roman" w:cs="Times New Roman"/>
        </w:rPr>
        <w:t xml:space="preserve">The </w:t>
      </w:r>
      <w:r w:rsidRPr="001F6EA7">
        <w:rPr>
          <w:rFonts w:ascii="Times New Roman" w:hAnsi="Times New Roman" w:cs="Times New Roman"/>
        </w:rPr>
        <w:t>Disability Discrimination Act 1995</w:t>
      </w:r>
      <w:r>
        <w:rPr>
          <w:rFonts w:ascii="Times New Roman" w:hAnsi="Times New Roman" w:cs="Times New Roman"/>
        </w:rPr>
        <w:t xml:space="preserve"> introduced </w:t>
      </w:r>
      <w:r w:rsidRPr="001F6EA7">
        <w:rPr>
          <w:rFonts w:ascii="Times New Roman" w:hAnsi="Times New Roman" w:cs="Times New Roman"/>
        </w:rPr>
        <w:t>Reasonable</w:t>
      </w:r>
      <w:r>
        <w:rPr>
          <w:rFonts w:ascii="Times New Roman" w:hAnsi="Times New Roman" w:cs="Times New Roman"/>
        </w:rPr>
        <w:t xml:space="preserve"> Adjustments into </w:t>
      </w:r>
      <w:r w:rsidRPr="001F6EA7">
        <w:rPr>
          <w:rFonts w:ascii="Times New Roman" w:hAnsi="Times New Roman" w:cs="Times New Roman"/>
        </w:rPr>
        <w:t xml:space="preserve">United Kingdom </w:t>
      </w:r>
      <w:r>
        <w:rPr>
          <w:rFonts w:ascii="Times New Roman" w:hAnsi="Times New Roman" w:cs="Times New Roman"/>
        </w:rPr>
        <w:t>law</w:t>
      </w:r>
      <w:r w:rsidRPr="001F6EA7">
        <w:rPr>
          <w:rStyle w:val="FootnoteReference"/>
          <w:rFonts w:ascii="Times New Roman" w:hAnsi="Times New Roman" w:cs="Times New Roman"/>
        </w:rPr>
        <w:footnoteReference w:id="7"/>
      </w:r>
      <w:r>
        <w:rPr>
          <w:rFonts w:ascii="Times New Roman" w:hAnsi="Times New Roman" w:cs="Times New Roman"/>
        </w:rPr>
        <w:t xml:space="preserve">. Reasonable adjustments also </w:t>
      </w:r>
      <w:r w:rsidRPr="001F6EA7">
        <w:rPr>
          <w:rFonts w:ascii="Times New Roman" w:hAnsi="Times New Roman" w:cs="Times New Roman"/>
        </w:rPr>
        <w:t xml:space="preserve">appear in many other jurisdictions </w:t>
      </w:r>
      <w:r>
        <w:rPr>
          <w:rFonts w:ascii="Times New Roman" w:hAnsi="Times New Roman" w:cs="Times New Roman"/>
        </w:rPr>
        <w:t>albeit with</w:t>
      </w:r>
      <w:r w:rsidRPr="001F6EA7">
        <w:rPr>
          <w:rFonts w:ascii="Times New Roman" w:hAnsi="Times New Roman" w:cs="Times New Roman"/>
        </w:rPr>
        <w:t xml:space="preserve"> various </w:t>
      </w:r>
      <w:r>
        <w:rPr>
          <w:rFonts w:ascii="Times New Roman" w:hAnsi="Times New Roman" w:cs="Times New Roman"/>
        </w:rPr>
        <w:t>titles</w:t>
      </w:r>
      <w:r w:rsidRPr="001F6EA7">
        <w:rPr>
          <w:rFonts w:ascii="Times New Roman" w:hAnsi="Times New Roman" w:cs="Times New Roman"/>
        </w:rPr>
        <w:t xml:space="preserve">, the most common being ‘reasonable accommodations’.  </w:t>
      </w:r>
      <w:r>
        <w:rPr>
          <w:rFonts w:ascii="Times New Roman" w:hAnsi="Times New Roman" w:cs="Times New Roman"/>
        </w:rPr>
        <w:t>Reasonable adjustments in UK law</w:t>
      </w:r>
      <w:r w:rsidRPr="001F6EA7">
        <w:rPr>
          <w:rFonts w:ascii="Times New Roman" w:hAnsi="Times New Roman" w:cs="Times New Roman"/>
        </w:rPr>
        <w:t xml:space="preserve"> place a duty on employers</w:t>
      </w:r>
      <w:r w:rsidRPr="001F6EA7">
        <w:rPr>
          <w:rStyle w:val="FootnoteReference"/>
          <w:rFonts w:ascii="Times New Roman" w:hAnsi="Times New Roman" w:cs="Times New Roman"/>
        </w:rPr>
        <w:footnoteReference w:id="8"/>
      </w:r>
      <w:r w:rsidRPr="001F6EA7">
        <w:rPr>
          <w:rFonts w:ascii="Times New Roman" w:hAnsi="Times New Roman" w:cs="Times New Roman"/>
        </w:rPr>
        <w:t>, services and public functions</w:t>
      </w:r>
      <w:r w:rsidRPr="001F6EA7">
        <w:rPr>
          <w:rStyle w:val="FootnoteReference"/>
          <w:rFonts w:ascii="Times New Roman" w:hAnsi="Times New Roman" w:cs="Times New Roman"/>
        </w:rPr>
        <w:footnoteReference w:id="9"/>
      </w:r>
      <w:r w:rsidRPr="001F6EA7">
        <w:rPr>
          <w:rFonts w:ascii="Times New Roman" w:hAnsi="Times New Roman" w:cs="Times New Roman"/>
        </w:rPr>
        <w:t>, premises</w:t>
      </w:r>
      <w:r w:rsidRPr="001F6EA7">
        <w:rPr>
          <w:rStyle w:val="FootnoteReference"/>
          <w:rFonts w:ascii="Times New Roman" w:hAnsi="Times New Roman" w:cs="Times New Roman"/>
        </w:rPr>
        <w:footnoteReference w:id="10"/>
      </w:r>
      <w:r w:rsidRPr="001F6EA7">
        <w:rPr>
          <w:rFonts w:ascii="Times New Roman" w:hAnsi="Times New Roman" w:cs="Times New Roman"/>
        </w:rPr>
        <w:t>, education providers</w:t>
      </w:r>
      <w:r w:rsidRPr="001F6EA7">
        <w:rPr>
          <w:rStyle w:val="FootnoteReference"/>
          <w:rFonts w:ascii="Times New Roman" w:hAnsi="Times New Roman" w:cs="Times New Roman"/>
        </w:rPr>
        <w:footnoteReference w:id="11"/>
      </w:r>
      <w:r w:rsidRPr="001F6EA7">
        <w:rPr>
          <w:rFonts w:ascii="Times New Roman" w:hAnsi="Times New Roman" w:cs="Times New Roman"/>
        </w:rPr>
        <w:t xml:space="preserve"> and associations</w:t>
      </w:r>
      <w:r w:rsidRPr="001F6EA7">
        <w:rPr>
          <w:rStyle w:val="FootnoteReference"/>
          <w:rFonts w:ascii="Times New Roman" w:hAnsi="Times New Roman" w:cs="Times New Roman"/>
        </w:rPr>
        <w:footnoteReference w:id="12"/>
      </w:r>
      <w:r w:rsidRPr="001F6EA7">
        <w:rPr>
          <w:rFonts w:ascii="Times New Roman" w:hAnsi="Times New Roman" w:cs="Times New Roman"/>
        </w:rPr>
        <w:t xml:space="preserve"> to recognise that people with particular characteristics are disadvantaged by conventional requirements or systems</w:t>
      </w:r>
      <w:r w:rsidRPr="001F6EA7">
        <w:rPr>
          <w:rStyle w:val="FootnoteReference"/>
          <w:rFonts w:ascii="Times New Roman" w:hAnsi="Times New Roman" w:cs="Times New Roman"/>
        </w:rPr>
        <w:footnoteReference w:id="13"/>
      </w:r>
      <w:r w:rsidRPr="001F6EA7">
        <w:rPr>
          <w:rFonts w:ascii="Times New Roman" w:hAnsi="Times New Roman" w:cs="Times New Roman"/>
        </w:rPr>
        <w:t xml:space="preserve">. </w:t>
      </w:r>
      <w:r>
        <w:rPr>
          <w:rFonts w:ascii="Times New Roman" w:hAnsi="Times New Roman" w:cs="Times New Roman"/>
        </w:rPr>
        <w:t xml:space="preserve">Society is designed for non-disabled people and so fails to meet additional needs. </w:t>
      </w:r>
      <w:r w:rsidRPr="001F6EA7">
        <w:rPr>
          <w:rFonts w:ascii="Times New Roman" w:hAnsi="Times New Roman" w:cs="Times New Roman"/>
        </w:rPr>
        <w:t xml:space="preserve">The disadvantage comes </w:t>
      </w:r>
      <w:r>
        <w:rPr>
          <w:rFonts w:ascii="Times New Roman" w:hAnsi="Times New Roman" w:cs="Times New Roman"/>
        </w:rPr>
        <w:t xml:space="preserve">as </w:t>
      </w:r>
      <w:r w:rsidR="00C0651E">
        <w:rPr>
          <w:rFonts w:ascii="Times New Roman" w:hAnsi="Times New Roman" w:cs="Times New Roman"/>
        </w:rPr>
        <w:t>an</w:t>
      </w:r>
      <w:r>
        <w:rPr>
          <w:rFonts w:ascii="Times New Roman" w:hAnsi="Times New Roman" w:cs="Times New Roman"/>
        </w:rPr>
        <w:t xml:space="preserve"> inherent characteristic</w:t>
      </w:r>
      <w:r w:rsidR="00C0651E">
        <w:rPr>
          <w:rFonts w:ascii="Times New Roman" w:hAnsi="Times New Roman" w:cs="Times New Roman"/>
        </w:rPr>
        <w:t xml:space="preserve"> of which</w:t>
      </w:r>
      <w:r>
        <w:rPr>
          <w:rFonts w:ascii="Times New Roman" w:hAnsi="Times New Roman" w:cs="Times New Roman"/>
        </w:rPr>
        <w:t xml:space="preserve"> r</w:t>
      </w:r>
      <w:r w:rsidRPr="001F6EA7">
        <w:rPr>
          <w:rFonts w:ascii="Times New Roman" w:hAnsi="Times New Roman" w:cs="Times New Roman"/>
        </w:rPr>
        <w:t xml:space="preserve">enders </w:t>
      </w:r>
      <w:r w:rsidR="00C0651E">
        <w:rPr>
          <w:rFonts w:ascii="Times New Roman" w:hAnsi="Times New Roman" w:cs="Times New Roman"/>
        </w:rPr>
        <w:t>a</w:t>
      </w:r>
      <w:r w:rsidRPr="001F6EA7">
        <w:rPr>
          <w:rFonts w:ascii="Times New Roman" w:hAnsi="Times New Roman" w:cs="Times New Roman"/>
        </w:rPr>
        <w:t xml:space="preserve"> person incapable of performing a function or job in the usual way, creating barriers that prevent the person from benefitting from an opportunity available to those without the</w:t>
      </w:r>
      <w:r w:rsidR="00C0651E">
        <w:rPr>
          <w:rFonts w:ascii="Times New Roman" w:hAnsi="Times New Roman" w:cs="Times New Roman"/>
        </w:rPr>
        <w:t>ir</w:t>
      </w:r>
      <w:r w:rsidRPr="001F6EA7">
        <w:rPr>
          <w:rFonts w:ascii="Times New Roman" w:hAnsi="Times New Roman" w:cs="Times New Roman"/>
        </w:rPr>
        <w:t xml:space="preserve"> characteristic</w:t>
      </w:r>
      <w:r w:rsidRPr="001F6EA7">
        <w:rPr>
          <w:rStyle w:val="FootnoteReference"/>
          <w:rFonts w:ascii="Times New Roman" w:hAnsi="Times New Roman" w:cs="Times New Roman"/>
        </w:rPr>
        <w:footnoteReference w:id="14"/>
      </w:r>
      <w:r w:rsidRPr="001F6EA7">
        <w:rPr>
          <w:rFonts w:ascii="Times New Roman" w:hAnsi="Times New Roman" w:cs="Times New Roman"/>
        </w:rPr>
        <w:t>.  The duty</w:t>
      </w:r>
      <w:r>
        <w:rPr>
          <w:rFonts w:ascii="Times New Roman" w:hAnsi="Times New Roman" w:cs="Times New Roman"/>
        </w:rPr>
        <w:t xml:space="preserve"> requires </w:t>
      </w:r>
      <w:r w:rsidRPr="001F6EA7">
        <w:rPr>
          <w:rFonts w:ascii="Times New Roman" w:hAnsi="Times New Roman" w:cs="Times New Roman"/>
        </w:rPr>
        <w:t xml:space="preserve">reasonable steps </w:t>
      </w:r>
      <w:r>
        <w:rPr>
          <w:rFonts w:ascii="Times New Roman" w:hAnsi="Times New Roman" w:cs="Times New Roman"/>
        </w:rPr>
        <w:t xml:space="preserve">to be taken </w:t>
      </w:r>
      <w:r w:rsidRPr="001F6EA7">
        <w:rPr>
          <w:rFonts w:ascii="Times New Roman" w:hAnsi="Times New Roman" w:cs="Times New Roman"/>
        </w:rPr>
        <w:t xml:space="preserve">to remove the disadvantage by treating the disadvantaged </w:t>
      </w:r>
      <w:r w:rsidRPr="001F6EA7">
        <w:rPr>
          <w:rFonts w:ascii="Times New Roman" w:hAnsi="Times New Roman" w:cs="Times New Roman"/>
        </w:rPr>
        <w:lastRenderedPageBreak/>
        <w:t>differently to others</w:t>
      </w:r>
      <w:r w:rsidRPr="001F6EA7">
        <w:rPr>
          <w:rStyle w:val="FootnoteReference"/>
          <w:rFonts w:ascii="Times New Roman" w:hAnsi="Times New Roman" w:cs="Times New Roman"/>
        </w:rPr>
        <w:footnoteReference w:id="15"/>
      </w:r>
      <w:r w:rsidRPr="001F6EA7">
        <w:rPr>
          <w:rFonts w:ascii="Times New Roman" w:hAnsi="Times New Roman" w:cs="Times New Roman"/>
        </w:rPr>
        <w:t xml:space="preserve">. </w:t>
      </w:r>
      <w:r w:rsidR="00426DE7">
        <w:rPr>
          <w:rFonts w:ascii="Times New Roman" w:hAnsi="Times New Roman" w:cs="Times New Roman"/>
        </w:rPr>
        <w:t>The influence of substantive equality, therefore, becomes evident.</w:t>
      </w:r>
    </w:p>
    <w:p w14:paraId="4C0A7C40" w14:textId="77777777" w:rsidR="0086465E" w:rsidRPr="001F6EA7" w:rsidRDefault="0086465E" w:rsidP="0086465E">
      <w:pPr>
        <w:spacing w:line="360" w:lineRule="auto"/>
        <w:jc w:val="both"/>
        <w:rPr>
          <w:rFonts w:ascii="Times New Roman" w:hAnsi="Times New Roman" w:cs="Times New Roman"/>
        </w:rPr>
      </w:pPr>
    </w:p>
    <w:p w14:paraId="494D8ED9" w14:textId="4EA6D373" w:rsidR="0086465E" w:rsidRDefault="0086465E" w:rsidP="0086465E">
      <w:pPr>
        <w:spacing w:line="360" w:lineRule="auto"/>
        <w:jc w:val="both"/>
        <w:rPr>
          <w:rFonts w:ascii="Times New Roman" w:hAnsi="Times New Roman" w:cs="Times New Roman"/>
        </w:rPr>
      </w:pPr>
      <w:r w:rsidRPr="001F6EA7">
        <w:rPr>
          <w:rFonts w:ascii="Times New Roman" w:hAnsi="Times New Roman" w:cs="Times New Roman"/>
        </w:rPr>
        <w:t>The duty</w:t>
      </w:r>
      <w:r>
        <w:rPr>
          <w:rFonts w:ascii="Times New Roman" w:hAnsi="Times New Roman" w:cs="Times New Roman"/>
        </w:rPr>
        <w:t xml:space="preserve"> to provide reasonable adjustments</w:t>
      </w:r>
      <w:r w:rsidRPr="001F6EA7">
        <w:rPr>
          <w:rFonts w:ascii="Times New Roman" w:hAnsi="Times New Roman" w:cs="Times New Roman"/>
        </w:rPr>
        <w:t xml:space="preserve"> is also found at </w:t>
      </w:r>
      <w:r>
        <w:rPr>
          <w:rFonts w:ascii="Times New Roman" w:hAnsi="Times New Roman" w:cs="Times New Roman"/>
        </w:rPr>
        <w:t xml:space="preserve">the supranational and </w:t>
      </w:r>
      <w:r w:rsidRPr="001F6EA7">
        <w:rPr>
          <w:rFonts w:ascii="Times New Roman" w:hAnsi="Times New Roman" w:cs="Times New Roman"/>
        </w:rPr>
        <w:t>international level</w:t>
      </w:r>
      <w:r>
        <w:rPr>
          <w:rFonts w:ascii="Times New Roman" w:hAnsi="Times New Roman" w:cs="Times New Roman"/>
        </w:rPr>
        <w:t>s</w:t>
      </w:r>
      <w:r w:rsidRPr="001F6EA7">
        <w:rPr>
          <w:rFonts w:ascii="Times New Roman" w:hAnsi="Times New Roman" w:cs="Times New Roman"/>
        </w:rPr>
        <w:t>.  European Union member states have been required</w:t>
      </w:r>
      <w:r w:rsidRPr="005E00C4">
        <w:rPr>
          <w:rFonts w:ascii="Times New Roman" w:hAnsi="Times New Roman" w:cs="Times New Roman"/>
        </w:rPr>
        <w:t xml:space="preserve"> </w:t>
      </w:r>
      <w:r w:rsidRPr="001F6EA7">
        <w:rPr>
          <w:rFonts w:ascii="Times New Roman" w:hAnsi="Times New Roman" w:cs="Times New Roman"/>
        </w:rPr>
        <w:t>to introduce reasonable accommodations in the contexts of employment and occupation into their legal systems by the Employment Equality Directive 2000</w:t>
      </w:r>
      <w:r w:rsidRPr="001F6EA7">
        <w:rPr>
          <w:rStyle w:val="FootnoteReference"/>
          <w:rFonts w:ascii="Times New Roman" w:hAnsi="Times New Roman" w:cs="Times New Roman"/>
        </w:rPr>
        <w:footnoteReference w:id="16"/>
      </w:r>
      <w:r>
        <w:rPr>
          <w:rFonts w:ascii="Times New Roman" w:hAnsi="Times New Roman" w:cs="Times New Roman"/>
        </w:rPr>
        <w:t xml:space="preserve"> </w:t>
      </w:r>
      <w:r w:rsidRPr="001F6EA7">
        <w:rPr>
          <w:rFonts w:ascii="Times New Roman" w:hAnsi="Times New Roman" w:cs="Times New Roman"/>
        </w:rPr>
        <w:t>since 2006</w:t>
      </w:r>
      <w:r>
        <w:rPr>
          <w:rFonts w:ascii="Times New Roman" w:hAnsi="Times New Roman" w:cs="Times New Roman"/>
        </w:rPr>
        <w:t>. The U</w:t>
      </w:r>
      <w:r w:rsidRPr="001F6EA7">
        <w:rPr>
          <w:rFonts w:ascii="Times New Roman" w:hAnsi="Times New Roman" w:cs="Times New Roman"/>
        </w:rPr>
        <w:t xml:space="preserve">K already had </w:t>
      </w:r>
      <w:r w:rsidR="00FE2B50">
        <w:rPr>
          <w:rFonts w:ascii="Times New Roman" w:hAnsi="Times New Roman" w:cs="Times New Roman"/>
        </w:rPr>
        <w:t>such a</w:t>
      </w:r>
      <w:r w:rsidRPr="001F6EA7">
        <w:rPr>
          <w:rFonts w:ascii="Times New Roman" w:hAnsi="Times New Roman" w:cs="Times New Roman"/>
        </w:rPr>
        <w:t xml:space="preserve"> provision</w:t>
      </w:r>
      <w:r>
        <w:rPr>
          <w:rFonts w:ascii="Times New Roman" w:hAnsi="Times New Roman" w:cs="Times New Roman"/>
        </w:rPr>
        <w:t xml:space="preserve"> and was influential in the</w:t>
      </w:r>
      <w:r w:rsidRPr="001F6EA7">
        <w:rPr>
          <w:rFonts w:ascii="Times New Roman" w:hAnsi="Times New Roman" w:cs="Times New Roman"/>
        </w:rPr>
        <w:t xml:space="preserve"> spread</w:t>
      </w:r>
      <w:r w:rsidR="00FE2B50">
        <w:rPr>
          <w:rFonts w:ascii="Times New Roman" w:hAnsi="Times New Roman" w:cs="Times New Roman"/>
        </w:rPr>
        <w:t xml:space="preserve"> of this approach</w:t>
      </w:r>
      <w:r w:rsidRPr="001F6EA7">
        <w:rPr>
          <w:rFonts w:ascii="Times New Roman" w:hAnsi="Times New Roman" w:cs="Times New Roman"/>
        </w:rPr>
        <w:t xml:space="preserve"> across the European Union. </w:t>
      </w:r>
      <w:r>
        <w:rPr>
          <w:rFonts w:ascii="Times New Roman" w:hAnsi="Times New Roman" w:cs="Times New Roman"/>
        </w:rPr>
        <w:t>The notion of reasonable adjustments can also implicitly</w:t>
      </w:r>
      <w:r w:rsidR="00FE2B50">
        <w:rPr>
          <w:rFonts w:ascii="Times New Roman" w:hAnsi="Times New Roman" w:cs="Times New Roman"/>
        </w:rPr>
        <w:t xml:space="preserve"> be</w:t>
      </w:r>
      <w:r>
        <w:rPr>
          <w:rFonts w:ascii="Times New Roman" w:hAnsi="Times New Roman" w:cs="Times New Roman"/>
        </w:rPr>
        <w:t xml:space="preserve"> found throughout the Council of Europe’s European Convention of Human Rights (ECHR)</w:t>
      </w:r>
      <w:r>
        <w:rPr>
          <w:rStyle w:val="FootnoteReference"/>
          <w:rFonts w:ascii="Times New Roman" w:hAnsi="Times New Roman" w:cs="Times New Roman"/>
        </w:rPr>
        <w:footnoteReference w:id="17"/>
      </w:r>
      <w:r>
        <w:rPr>
          <w:rFonts w:ascii="Times New Roman" w:hAnsi="Times New Roman" w:cs="Times New Roman"/>
        </w:rPr>
        <w:t xml:space="preserve"> and revised European Social Charter (ESC)</w:t>
      </w:r>
      <w:r>
        <w:rPr>
          <w:rStyle w:val="FootnoteReference"/>
          <w:rFonts w:ascii="Times New Roman" w:hAnsi="Times New Roman" w:cs="Times New Roman"/>
        </w:rPr>
        <w:footnoteReference w:id="18"/>
      </w:r>
      <w:r>
        <w:rPr>
          <w:rFonts w:ascii="Times New Roman" w:hAnsi="Times New Roman" w:cs="Times New Roman"/>
        </w:rPr>
        <w:t xml:space="preserve">. Article 14 states that all ECHR rights must be enjoyed by all, free from discrimination </w:t>
      </w:r>
      <w:r w:rsidRPr="00901D0A">
        <w:rPr>
          <w:rFonts w:ascii="Times New Roman" w:hAnsi="Times New Roman" w:cs="Times New Roman"/>
        </w:rPr>
        <w:t>on any ground</w:t>
      </w:r>
      <w:r>
        <w:rPr>
          <w:rFonts w:ascii="Times New Roman" w:hAnsi="Times New Roman" w:cs="Times New Roman"/>
        </w:rPr>
        <w:t xml:space="preserve"> such as sex, race, colour, </w:t>
      </w:r>
      <w:r w:rsidRPr="00901D0A">
        <w:rPr>
          <w:rFonts w:ascii="Times New Roman" w:hAnsi="Times New Roman" w:cs="Times New Roman"/>
        </w:rPr>
        <w:t>language, religion, political or other</w:t>
      </w:r>
      <w:r>
        <w:rPr>
          <w:rFonts w:ascii="Times New Roman" w:hAnsi="Times New Roman" w:cs="Times New Roman"/>
        </w:rPr>
        <w:t xml:space="preserve"> </w:t>
      </w:r>
      <w:r w:rsidRPr="00901D0A">
        <w:rPr>
          <w:rFonts w:ascii="Times New Roman" w:hAnsi="Times New Roman" w:cs="Times New Roman"/>
        </w:rPr>
        <w:t>opinion, national or social origin, association with a national</w:t>
      </w:r>
      <w:r>
        <w:rPr>
          <w:rFonts w:ascii="Times New Roman" w:hAnsi="Times New Roman" w:cs="Times New Roman"/>
        </w:rPr>
        <w:t xml:space="preserve"> </w:t>
      </w:r>
      <w:r w:rsidRPr="00901D0A">
        <w:rPr>
          <w:rFonts w:ascii="Times New Roman" w:hAnsi="Times New Roman" w:cs="Times New Roman"/>
        </w:rPr>
        <w:t>minority, property, birth or other status.</w:t>
      </w:r>
      <w:r>
        <w:rPr>
          <w:rFonts w:ascii="Times New Roman" w:hAnsi="Times New Roman" w:cs="Times New Roman"/>
        </w:rPr>
        <w:t xml:space="preserve"> Although disability is not expressly identified, it is covered by ‘other status’</w:t>
      </w:r>
      <w:r>
        <w:rPr>
          <w:rStyle w:val="FootnoteReference"/>
          <w:rFonts w:ascii="Times New Roman" w:hAnsi="Times New Roman" w:cs="Times New Roman"/>
        </w:rPr>
        <w:footnoteReference w:id="19"/>
      </w:r>
      <w:r>
        <w:rPr>
          <w:rFonts w:ascii="Times New Roman" w:hAnsi="Times New Roman" w:cs="Times New Roman"/>
        </w:rPr>
        <w:t xml:space="preserve">. For example, a violation of Article 3 ECHR, the prohibition of torture and </w:t>
      </w:r>
      <w:r w:rsidRPr="00EC4481">
        <w:rPr>
          <w:rFonts w:ascii="Times New Roman" w:hAnsi="Times New Roman" w:cs="Times New Roman"/>
        </w:rPr>
        <w:t>inhuman or degrading treatment or punishment</w:t>
      </w:r>
      <w:r>
        <w:rPr>
          <w:rFonts w:ascii="Times New Roman" w:hAnsi="Times New Roman" w:cs="Times New Roman"/>
        </w:rPr>
        <w:t>, was found for failing to make accommodations for the needs of a disabled prisoner as it lead to degrading treatment</w:t>
      </w:r>
      <w:r>
        <w:rPr>
          <w:rStyle w:val="FootnoteReference"/>
          <w:rFonts w:ascii="Times New Roman" w:hAnsi="Times New Roman" w:cs="Times New Roman"/>
        </w:rPr>
        <w:footnoteReference w:id="20"/>
      </w:r>
      <w:r>
        <w:rPr>
          <w:rFonts w:ascii="Times New Roman" w:hAnsi="Times New Roman" w:cs="Times New Roman"/>
        </w:rPr>
        <w:t>. The revised ESC</w:t>
      </w:r>
      <w:r>
        <w:rPr>
          <w:rStyle w:val="FootnoteReference"/>
          <w:rFonts w:ascii="Times New Roman" w:hAnsi="Times New Roman" w:cs="Times New Roman"/>
        </w:rPr>
        <w:footnoteReference w:id="21"/>
      </w:r>
      <w:r>
        <w:rPr>
          <w:rFonts w:ascii="Times New Roman" w:hAnsi="Times New Roman" w:cs="Times New Roman"/>
        </w:rPr>
        <w:t xml:space="preserve"> places emphasis on integrating and mainstreaming disabled people, with provisions that resemble the concepts of reasonable accommodation</w:t>
      </w:r>
      <w:r>
        <w:rPr>
          <w:rStyle w:val="FootnoteReference"/>
          <w:rFonts w:ascii="Times New Roman" w:hAnsi="Times New Roman" w:cs="Times New Roman"/>
        </w:rPr>
        <w:footnoteReference w:id="22"/>
      </w:r>
      <w:r>
        <w:rPr>
          <w:rFonts w:ascii="Times New Roman" w:hAnsi="Times New Roman" w:cs="Times New Roman"/>
        </w:rPr>
        <w:t>. Internationally, the duty to provide reasonable accommodations is</w:t>
      </w:r>
      <w:r w:rsidRPr="001F6EA7">
        <w:rPr>
          <w:rFonts w:ascii="Times New Roman" w:hAnsi="Times New Roman" w:cs="Times New Roman"/>
        </w:rPr>
        <w:t xml:space="preserve"> contained in </w:t>
      </w:r>
      <w:r>
        <w:rPr>
          <w:rFonts w:ascii="Times New Roman" w:hAnsi="Times New Roman" w:cs="Times New Roman"/>
        </w:rPr>
        <w:t>Article 5 (2) of the</w:t>
      </w:r>
      <w:r w:rsidRPr="001F6EA7">
        <w:rPr>
          <w:rFonts w:ascii="Times New Roman" w:hAnsi="Times New Roman" w:cs="Times New Roman"/>
        </w:rPr>
        <w:t xml:space="preserve"> United Nations Convention on the R</w:t>
      </w:r>
      <w:r>
        <w:rPr>
          <w:rFonts w:ascii="Times New Roman" w:hAnsi="Times New Roman" w:cs="Times New Roman"/>
        </w:rPr>
        <w:t>ights Persons with Disabilities</w:t>
      </w:r>
      <w:r>
        <w:rPr>
          <w:rStyle w:val="FootnoteReference"/>
          <w:rFonts w:ascii="Times New Roman" w:hAnsi="Times New Roman" w:cs="Times New Roman"/>
        </w:rPr>
        <w:footnoteReference w:id="23"/>
      </w:r>
      <w:r>
        <w:rPr>
          <w:rFonts w:ascii="Times New Roman" w:hAnsi="Times New Roman" w:cs="Times New Roman"/>
        </w:rPr>
        <w:t xml:space="preserve">. The recognition of the </w:t>
      </w:r>
      <w:r>
        <w:rPr>
          <w:rFonts w:ascii="Times New Roman" w:hAnsi="Times New Roman" w:cs="Times New Roman"/>
        </w:rPr>
        <w:lastRenderedPageBreak/>
        <w:t xml:space="preserve">need to make accommodations at the national, supranational and international level illustrates the </w:t>
      </w:r>
      <w:r w:rsidR="00D32E1D">
        <w:rPr>
          <w:rFonts w:ascii="Times New Roman" w:hAnsi="Times New Roman" w:cs="Times New Roman"/>
        </w:rPr>
        <w:t xml:space="preserve">need for </w:t>
      </w:r>
      <w:r>
        <w:rPr>
          <w:rFonts w:ascii="Times New Roman" w:hAnsi="Times New Roman" w:cs="Times New Roman"/>
        </w:rPr>
        <w:t xml:space="preserve">such measures </w:t>
      </w:r>
      <w:r w:rsidR="00D32E1D">
        <w:rPr>
          <w:rFonts w:ascii="Times New Roman" w:hAnsi="Times New Roman" w:cs="Times New Roman"/>
        </w:rPr>
        <w:t>and their importance.  I</w:t>
      </w:r>
      <w:r>
        <w:rPr>
          <w:rFonts w:ascii="Times New Roman" w:hAnsi="Times New Roman" w:cs="Times New Roman"/>
        </w:rPr>
        <w:t xml:space="preserve">t </w:t>
      </w:r>
      <w:r w:rsidR="00D32E1D">
        <w:rPr>
          <w:rFonts w:ascii="Times New Roman" w:hAnsi="Times New Roman" w:cs="Times New Roman"/>
        </w:rPr>
        <w:t xml:space="preserve">is, however, argued that greater access and </w:t>
      </w:r>
      <w:r>
        <w:rPr>
          <w:rFonts w:ascii="Times New Roman" w:hAnsi="Times New Roman" w:cs="Times New Roman"/>
        </w:rPr>
        <w:t>health issues and a fear of facing disadvantages when compl</w:t>
      </w:r>
      <w:r w:rsidR="00D32E1D">
        <w:rPr>
          <w:rFonts w:ascii="Times New Roman" w:hAnsi="Times New Roman" w:cs="Times New Roman"/>
        </w:rPr>
        <w:t xml:space="preserve">aining, </w:t>
      </w:r>
      <w:r>
        <w:rPr>
          <w:rFonts w:ascii="Times New Roman" w:hAnsi="Times New Roman" w:cs="Times New Roman"/>
        </w:rPr>
        <w:t xml:space="preserve">physical barriers to courts, indifferent judges and </w:t>
      </w:r>
      <w:r w:rsidR="00D32E1D">
        <w:rPr>
          <w:rFonts w:ascii="Times New Roman" w:hAnsi="Times New Roman" w:cs="Times New Roman"/>
        </w:rPr>
        <w:t>unsympathetic institutions make</w:t>
      </w:r>
      <w:r>
        <w:rPr>
          <w:rFonts w:ascii="Times New Roman" w:hAnsi="Times New Roman" w:cs="Times New Roman"/>
        </w:rPr>
        <w:t xml:space="preserve"> accessing these rights more difficult</w:t>
      </w:r>
      <w:r>
        <w:rPr>
          <w:rStyle w:val="FootnoteReference"/>
          <w:rFonts w:ascii="Times New Roman" w:hAnsi="Times New Roman" w:cs="Times New Roman"/>
        </w:rPr>
        <w:footnoteReference w:id="24"/>
      </w:r>
      <w:r>
        <w:rPr>
          <w:rFonts w:ascii="Times New Roman" w:hAnsi="Times New Roman" w:cs="Times New Roman"/>
        </w:rPr>
        <w:t>.</w:t>
      </w:r>
    </w:p>
    <w:p w14:paraId="00749144" w14:textId="77777777" w:rsidR="00731879" w:rsidRDefault="00731879" w:rsidP="0086465E">
      <w:pPr>
        <w:spacing w:line="360" w:lineRule="auto"/>
        <w:jc w:val="both"/>
        <w:rPr>
          <w:rFonts w:ascii="Times New Roman" w:hAnsi="Times New Roman" w:cs="Times New Roman"/>
        </w:rPr>
      </w:pPr>
    </w:p>
    <w:p w14:paraId="12F597A0" w14:textId="2A2B8DE3" w:rsidR="00731879" w:rsidRDefault="00731879" w:rsidP="0086465E">
      <w:pPr>
        <w:spacing w:line="360" w:lineRule="auto"/>
        <w:jc w:val="both"/>
        <w:rPr>
          <w:rFonts w:ascii="Times New Roman" w:hAnsi="Times New Roman" w:cs="Times New Roman"/>
        </w:rPr>
      </w:pPr>
      <w:r>
        <w:rPr>
          <w:rFonts w:ascii="Times New Roman" w:hAnsi="Times New Roman" w:cs="Times New Roman"/>
        </w:rPr>
        <w:t xml:space="preserve">This guide is written with the aim of giving you a comprehensive understanding </w:t>
      </w:r>
      <w:r w:rsidR="000E553A">
        <w:rPr>
          <w:rFonts w:ascii="Times New Roman" w:hAnsi="Times New Roman" w:cs="Times New Roman"/>
        </w:rPr>
        <w:t>of the law on reasonable adjustments in the UK.</w:t>
      </w:r>
    </w:p>
    <w:p w14:paraId="0A05E51C" w14:textId="1B6C8A24" w:rsidR="0086465E" w:rsidRDefault="0086465E" w:rsidP="0086465E">
      <w:pPr>
        <w:spacing w:line="360" w:lineRule="auto"/>
        <w:jc w:val="both"/>
        <w:rPr>
          <w:rFonts w:ascii="Times New Roman" w:hAnsi="Times New Roman" w:cs="Times New Roman"/>
        </w:rPr>
      </w:pPr>
    </w:p>
    <w:p w14:paraId="1F331201" w14:textId="77777777" w:rsidR="0086465E" w:rsidRDefault="0086465E" w:rsidP="0086465E">
      <w:pPr>
        <w:spacing w:line="360" w:lineRule="auto"/>
        <w:jc w:val="both"/>
        <w:rPr>
          <w:rFonts w:ascii="Times New Roman" w:hAnsi="Times New Roman" w:cs="Times New Roman"/>
          <w:b/>
        </w:rPr>
      </w:pPr>
      <w:r>
        <w:rPr>
          <w:rFonts w:ascii="Times New Roman" w:hAnsi="Times New Roman" w:cs="Times New Roman"/>
          <w:b/>
        </w:rPr>
        <w:t>2. Reasonable Adjustments in the UK</w:t>
      </w:r>
    </w:p>
    <w:p w14:paraId="05467800" w14:textId="77777777" w:rsidR="0086465E" w:rsidRDefault="0086465E" w:rsidP="0086465E">
      <w:pPr>
        <w:spacing w:line="360" w:lineRule="auto"/>
        <w:jc w:val="both"/>
        <w:rPr>
          <w:rFonts w:ascii="Times New Roman" w:hAnsi="Times New Roman" w:cs="Times New Roman"/>
        </w:rPr>
      </w:pPr>
      <w:r>
        <w:rPr>
          <w:rFonts w:ascii="Times New Roman" w:hAnsi="Times New Roman" w:cs="Times New Roman"/>
        </w:rPr>
        <w:t xml:space="preserve">The duty to provide reasonable adjustments </w:t>
      </w:r>
      <w:r w:rsidRPr="004E5B20">
        <w:rPr>
          <w:rFonts w:ascii="Times New Roman" w:hAnsi="Times New Roman" w:cs="Times New Roman"/>
          <w:i/>
        </w:rPr>
        <w:t>‘applies to situations in which a disabled person is put at a substantial disadvantage in comparison to non-disabled persons by a provision, criteria or practice, a physical feature, or the absence of an auxiliary aid’</w:t>
      </w:r>
      <w:r>
        <w:rPr>
          <w:rStyle w:val="FootnoteReference"/>
          <w:rFonts w:ascii="Times New Roman" w:hAnsi="Times New Roman" w:cs="Times New Roman"/>
          <w:i/>
        </w:rPr>
        <w:footnoteReference w:id="25"/>
      </w:r>
      <w:r>
        <w:rPr>
          <w:rFonts w:ascii="Times New Roman" w:hAnsi="Times New Roman" w:cs="Times New Roman"/>
        </w:rPr>
        <w:t>. There are two types of reasonable adjustments: reactive and anticipatory</w:t>
      </w:r>
      <w:r>
        <w:rPr>
          <w:rStyle w:val="FootnoteReference"/>
          <w:rFonts w:ascii="Times New Roman" w:hAnsi="Times New Roman" w:cs="Times New Roman"/>
        </w:rPr>
        <w:footnoteReference w:id="26"/>
      </w:r>
      <w:r>
        <w:rPr>
          <w:rFonts w:ascii="Times New Roman" w:hAnsi="Times New Roman" w:cs="Times New Roman"/>
        </w:rPr>
        <w:t xml:space="preserve">. </w:t>
      </w:r>
    </w:p>
    <w:p w14:paraId="7B763DFC" w14:textId="77777777" w:rsidR="0086465E" w:rsidRDefault="0086465E" w:rsidP="0086465E">
      <w:pPr>
        <w:spacing w:line="360" w:lineRule="auto"/>
        <w:jc w:val="both"/>
        <w:rPr>
          <w:rFonts w:ascii="Times New Roman" w:hAnsi="Times New Roman" w:cs="Times New Roman"/>
        </w:rPr>
      </w:pPr>
    </w:p>
    <w:p w14:paraId="0234F046" w14:textId="77777777" w:rsidR="0086465E" w:rsidRDefault="0086465E" w:rsidP="0086465E">
      <w:pPr>
        <w:spacing w:line="360" w:lineRule="auto"/>
        <w:jc w:val="both"/>
        <w:rPr>
          <w:rFonts w:ascii="Times New Roman" w:hAnsi="Times New Roman" w:cs="Times New Roman"/>
        </w:rPr>
      </w:pPr>
    </w:p>
    <w:p w14:paraId="43F26D7E" w14:textId="7B3A17DD" w:rsidR="0086465E" w:rsidRPr="00FB5076" w:rsidRDefault="00D10036" w:rsidP="0086465E">
      <w:pPr>
        <w:spacing w:line="360" w:lineRule="auto"/>
        <w:jc w:val="both"/>
        <w:rPr>
          <w:rFonts w:ascii="Times New Roman" w:hAnsi="Times New Roman" w:cs="Times New Roman"/>
          <w:b/>
        </w:rPr>
      </w:pPr>
      <w:r>
        <w:rPr>
          <w:rFonts w:ascii="Times New Roman" w:hAnsi="Times New Roman" w:cs="Times New Roman"/>
          <w:b/>
        </w:rPr>
        <w:t>2a. Reactive Duty</w:t>
      </w:r>
    </w:p>
    <w:p w14:paraId="465F603B" w14:textId="4D924E54" w:rsidR="0086465E" w:rsidRDefault="0086465E" w:rsidP="0086465E">
      <w:pPr>
        <w:spacing w:line="360" w:lineRule="auto"/>
        <w:jc w:val="both"/>
        <w:rPr>
          <w:rFonts w:ascii="Times New Roman" w:hAnsi="Times New Roman" w:cs="Times New Roman"/>
        </w:rPr>
      </w:pPr>
      <w:r>
        <w:rPr>
          <w:rFonts w:ascii="Times New Roman" w:hAnsi="Times New Roman" w:cs="Times New Roman"/>
        </w:rPr>
        <w:t xml:space="preserve">In the context of employment and let premises, the duty is reactive in nature as it is only triggered when the disabled person demonstrates a need for assistance. </w:t>
      </w:r>
      <w:r w:rsidR="00600DCB">
        <w:rPr>
          <w:rFonts w:ascii="Times New Roman" w:hAnsi="Times New Roman" w:cs="Times New Roman"/>
        </w:rPr>
        <w:t>There is no duty to anticipate difficulties and possible barriers before receiving a request for reasonable adjustments by an interested disabled person</w:t>
      </w:r>
      <w:r>
        <w:rPr>
          <w:rFonts w:ascii="Times New Roman" w:hAnsi="Times New Roman" w:cs="Times New Roman"/>
        </w:rPr>
        <w:t>.</w:t>
      </w:r>
    </w:p>
    <w:p w14:paraId="53FB7FAA" w14:textId="77777777" w:rsidR="0086465E" w:rsidRDefault="0086465E" w:rsidP="0086465E">
      <w:pPr>
        <w:spacing w:line="360" w:lineRule="auto"/>
        <w:jc w:val="both"/>
        <w:rPr>
          <w:rFonts w:ascii="Times New Roman" w:hAnsi="Times New Roman" w:cs="Times New Roman"/>
        </w:rPr>
      </w:pPr>
    </w:p>
    <w:p w14:paraId="725D7A7E" w14:textId="076EA9FC" w:rsidR="0086465E" w:rsidRPr="00803455" w:rsidRDefault="0086465E" w:rsidP="0086465E">
      <w:pPr>
        <w:pStyle w:val="Default"/>
        <w:spacing w:line="360" w:lineRule="auto"/>
        <w:jc w:val="both"/>
        <w:rPr>
          <w:rFonts w:ascii="Times New Roman" w:hAnsi="Times New Roman" w:cs="Times New Roman"/>
        </w:rPr>
      </w:pPr>
      <w:r>
        <w:rPr>
          <w:rFonts w:ascii="Times New Roman" w:hAnsi="Times New Roman" w:cs="Times New Roman"/>
        </w:rPr>
        <w:t>The first requirement of the reactive duty is that</w:t>
      </w:r>
      <w:r w:rsidRPr="00803455">
        <w:rPr>
          <w:rFonts w:ascii="Times New Roman" w:hAnsi="Times New Roman" w:cs="Times New Roman"/>
        </w:rPr>
        <w:t xml:space="preserve"> there must be an ‘</w:t>
      </w:r>
      <w:r>
        <w:rPr>
          <w:rFonts w:ascii="Times New Roman" w:hAnsi="Times New Roman" w:cs="Times New Roman"/>
        </w:rPr>
        <w:t xml:space="preserve">interested </w:t>
      </w:r>
      <w:r w:rsidRPr="00803455">
        <w:rPr>
          <w:rFonts w:ascii="Times New Roman" w:hAnsi="Times New Roman" w:cs="Times New Roman"/>
        </w:rPr>
        <w:t>disabled person</w:t>
      </w:r>
      <w:r>
        <w:rPr>
          <w:rFonts w:ascii="Times New Roman" w:hAnsi="Times New Roman" w:cs="Times New Roman"/>
        </w:rPr>
        <w:t>’</w:t>
      </w:r>
      <w:r>
        <w:rPr>
          <w:rStyle w:val="FootnoteReference"/>
          <w:rFonts w:ascii="Times New Roman" w:hAnsi="Times New Roman" w:cs="Times New Roman"/>
        </w:rPr>
        <w:footnoteReference w:id="27"/>
      </w:r>
      <w:r w:rsidRPr="00803455">
        <w:rPr>
          <w:rFonts w:ascii="Times New Roman" w:hAnsi="Times New Roman" w:cs="Times New Roman"/>
        </w:rPr>
        <w:t xml:space="preserve">. For determining who should be offered employment, it is defined as ‘any disabled person who is, or has notified the employer that he may be, an applicant for that employment’. It is an applicant or employee </w:t>
      </w:r>
      <w:r w:rsidR="005D2718">
        <w:rPr>
          <w:rFonts w:ascii="Times New Roman" w:hAnsi="Times New Roman" w:cs="Times New Roman"/>
        </w:rPr>
        <w:t xml:space="preserve">after </w:t>
      </w:r>
      <w:r w:rsidR="00B23F6B">
        <w:rPr>
          <w:rFonts w:ascii="Times New Roman" w:hAnsi="Times New Roman" w:cs="Times New Roman"/>
        </w:rPr>
        <w:t xml:space="preserve">the application </w:t>
      </w:r>
      <w:r w:rsidR="005222C6">
        <w:rPr>
          <w:rFonts w:ascii="Times New Roman" w:hAnsi="Times New Roman" w:cs="Times New Roman"/>
        </w:rPr>
        <w:t>h</w:t>
      </w:r>
      <w:r w:rsidR="00B23F6B">
        <w:rPr>
          <w:rFonts w:ascii="Times New Roman" w:hAnsi="Times New Roman" w:cs="Times New Roman"/>
        </w:rPr>
        <w:t>as been made</w:t>
      </w:r>
      <w:r w:rsidRPr="00803455">
        <w:rPr>
          <w:rFonts w:ascii="Times New Roman" w:hAnsi="Times New Roman" w:cs="Times New Roman"/>
        </w:rPr>
        <w:t xml:space="preserve">. Relevant disabled persons in the context of </w:t>
      </w:r>
      <w:r>
        <w:rPr>
          <w:rFonts w:ascii="Times New Roman" w:hAnsi="Times New Roman" w:cs="Times New Roman"/>
        </w:rPr>
        <w:t xml:space="preserve">associations are slightly different. In this </w:t>
      </w:r>
      <w:r>
        <w:rPr>
          <w:rFonts w:ascii="Times New Roman" w:hAnsi="Times New Roman" w:cs="Times New Roman"/>
        </w:rPr>
        <w:lastRenderedPageBreak/>
        <w:t>context, relevant disabled persons are those who</w:t>
      </w:r>
      <w:r w:rsidRPr="00803455">
        <w:rPr>
          <w:rFonts w:ascii="Times New Roman" w:hAnsi="Times New Roman" w:cs="Times New Roman"/>
        </w:rPr>
        <w:t xml:space="preserve"> are, or are seeking to become or might wish to become, members; are associates; or are, or are likely to become, guests</w:t>
      </w:r>
      <w:r>
        <w:rPr>
          <w:rStyle w:val="FootnoteReference"/>
          <w:rFonts w:ascii="Times New Roman" w:hAnsi="Times New Roman" w:cs="Times New Roman"/>
        </w:rPr>
        <w:footnoteReference w:id="28"/>
      </w:r>
      <w:r w:rsidRPr="00803455">
        <w:rPr>
          <w:rFonts w:ascii="Times New Roman" w:hAnsi="Times New Roman" w:cs="Times New Roman"/>
        </w:rPr>
        <w:t>. There will be no duty if the person fails to meet this requirement.</w:t>
      </w:r>
    </w:p>
    <w:p w14:paraId="07311688" w14:textId="77777777" w:rsidR="0086465E" w:rsidRDefault="0086465E" w:rsidP="0086465E">
      <w:pPr>
        <w:spacing w:line="360" w:lineRule="auto"/>
        <w:jc w:val="both"/>
        <w:rPr>
          <w:rFonts w:ascii="Times New Roman" w:hAnsi="Times New Roman" w:cs="Times New Roman"/>
        </w:rPr>
      </w:pPr>
    </w:p>
    <w:p w14:paraId="555C070F" w14:textId="2A9C7307" w:rsidR="00F823F8" w:rsidRDefault="0086465E" w:rsidP="0086465E">
      <w:pPr>
        <w:pStyle w:val="Default"/>
        <w:spacing w:line="360" w:lineRule="auto"/>
        <w:jc w:val="both"/>
        <w:rPr>
          <w:rFonts w:ascii="Times New Roman" w:hAnsi="Times New Roman" w:cs="Times New Roman"/>
        </w:rPr>
      </w:pPr>
      <w:r w:rsidRPr="00C1065D">
        <w:rPr>
          <w:rFonts w:ascii="Times New Roman" w:hAnsi="Times New Roman" w:cs="Times New Roman"/>
        </w:rPr>
        <w:t xml:space="preserve">Secondly, the disabled person concerned must be placed at a ‘substantial disadvantage’ </w:t>
      </w:r>
      <w:r w:rsidR="00B7041E">
        <w:rPr>
          <w:rFonts w:ascii="Times New Roman" w:hAnsi="Times New Roman" w:cs="Times New Roman"/>
        </w:rPr>
        <w:t xml:space="preserve">in </w:t>
      </w:r>
      <w:r w:rsidR="00D4508B">
        <w:rPr>
          <w:rFonts w:ascii="Times New Roman" w:hAnsi="Times New Roman" w:cs="Times New Roman"/>
        </w:rPr>
        <w:t>comparison</w:t>
      </w:r>
      <w:r w:rsidRPr="00C1065D">
        <w:rPr>
          <w:rFonts w:ascii="Times New Roman" w:hAnsi="Times New Roman" w:cs="Times New Roman"/>
        </w:rPr>
        <w:t xml:space="preserve"> to a non-disabled person</w:t>
      </w:r>
      <w:r w:rsidRPr="00C1065D">
        <w:rPr>
          <w:rStyle w:val="FootnoteReference"/>
          <w:rFonts w:ascii="Times New Roman" w:hAnsi="Times New Roman" w:cs="Times New Roman"/>
        </w:rPr>
        <w:footnoteReference w:id="29"/>
      </w:r>
      <w:r w:rsidRPr="00C1065D">
        <w:rPr>
          <w:rFonts w:ascii="Times New Roman" w:hAnsi="Times New Roman" w:cs="Times New Roman"/>
        </w:rPr>
        <w:t xml:space="preserve">. This regards the particular </w:t>
      </w:r>
      <w:r>
        <w:rPr>
          <w:rFonts w:ascii="Times New Roman" w:hAnsi="Times New Roman" w:cs="Times New Roman"/>
        </w:rPr>
        <w:t xml:space="preserve">interested </w:t>
      </w:r>
      <w:r w:rsidRPr="00C1065D">
        <w:rPr>
          <w:rFonts w:ascii="Times New Roman" w:hAnsi="Times New Roman" w:cs="Times New Roman"/>
        </w:rPr>
        <w:t>disabled person rather than disabled people in general</w:t>
      </w:r>
      <w:r w:rsidRPr="00C1065D">
        <w:rPr>
          <w:rStyle w:val="FootnoteReference"/>
          <w:rFonts w:ascii="Times New Roman" w:hAnsi="Times New Roman" w:cs="Times New Roman"/>
        </w:rPr>
        <w:footnoteReference w:id="30"/>
      </w:r>
      <w:r w:rsidRPr="00C1065D">
        <w:rPr>
          <w:rFonts w:ascii="Times New Roman" w:hAnsi="Times New Roman" w:cs="Times New Roman"/>
        </w:rPr>
        <w:t>. To be ‘substantial’, the disadvantage must be ‘more than minor or trivial’</w:t>
      </w:r>
      <w:r w:rsidRPr="00C1065D">
        <w:rPr>
          <w:rStyle w:val="FootnoteReference"/>
          <w:rFonts w:ascii="Times New Roman" w:hAnsi="Times New Roman" w:cs="Times New Roman"/>
        </w:rPr>
        <w:footnoteReference w:id="31"/>
      </w:r>
      <w:r w:rsidRPr="00C1065D">
        <w:rPr>
          <w:rFonts w:ascii="Times New Roman" w:hAnsi="Times New Roman" w:cs="Times New Roman"/>
        </w:rPr>
        <w:t xml:space="preserve">. </w:t>
      </w:r>
      <w:r w:rsidR="00F823F8">
        <w:rPr>
          <w:rFonts w:ascii="Times New Roman" w:hAnsi="Times New Roman" w:cs="Times New Roman"/>
        </w:rPr>
        <w:t xml:space="preserve">There is confusion as what is termed the role of the comparator. This is the person in which the substantial disadvantage is compared. It is thought to be a non-disabled potential applicant, applicant or employee. This, however, does not cover situations </w:t>
      </w:r>
      <w:r w:rsidR="00FD128A">
        <w:rPr>
          <w:rFonts w:ascii="Times New Roman" w:hAnsi="Times New Roman" w:cs="Times New Roman"/>
        </w:rPr>
        <w:t>where the employer is compelled to place the employee in a different role by the reasonable adjustment duty.</w:t>
      </w:r>
    </w:p>
    <w:p w14:paraId="5F377FB7" w14:textId="77777777" w:rsidR="00F823F8" w:rsidRDefault="00F823F8" w:rsidP="0086465E">
      <w:pPr>
        <w:pStyle w:val="Default"/>
        <w:spacing w:line="360" w:lineRule="auto"/>
        <w:jc w:val="both"/>
        <w:rPr>
          <w:rFonts w:ascii="Times New Roman" w:hAnsi="Times New Roman" w:cs="Times New Roman"/>
        </w:rPr>
      </w:pPr>
    </w:p>
    <w:p w14:paraId="013A2279" w14:textId="4687B4FF" w:rsidR="0086465E" w:rsidRDefault="0086465E" w:rsidP="0086465E">
      <w:pPr>
        <w:pStyle w:val="Default"/>
        <w:spacing w:line="360" w:lineRule="auto"/>
        <w:jc w:val="both"/>
        <w:rPr>
          <w:rFonts w:ascii="Times New Roman" w:hAnsi="Times New Roman" w:cs="Times New Roman"/>
        </w:rPr>
      </w:pPr>
      <w:r>
        <w:rPr>
          <w:rFonts w:ascii="Times New Roman" w:hAnsi="Times New Roman" w:cs="Times New Roman"/>
        </w:rPr>
        <w:t>In employment, sick pay is an area of difficulty in regards to ‘substantial disadvantage’ concerning those already employed. Granting more sick pay to a disabled person as a means of making a reasonable adjustment will only happen in rare cases</w:t>
      </w:r>
      <w:r>
        <w:rPr>
          <w:rStyle w:val="FootnoteReference"/>
          <w:rFonts w:ascii="Times New Roman" w:hAnsi="Times New Roman" w:cs="Times New Roman"/>
        </w:rPr>
        <w:footnoteReference w:id="32"/>
      </w:r>
      <w:r>
        <w:rPr>
          <w:rFonts w:ascii="Times New Roman" w:hAnsi="Times New Roman" w:cs="Times New Roman"/>
        </w:rPr>
        <w:t xml:space="preserve">, as the aim is to </w:t>
      </w:r>
      <w:proofErr w:type="spellStart"/>
      <w:r>
        <w:rPr>
          <w:rFonts w:ascii="Times New Roman" w:hAnsi="Times New Roman" w:cs="Times New Roman"/>
        </w:rPr>
        <w:t>recognise</w:t>
      </w:r>
      <w:proofErr w:type="spellEnd"/>
      <w:r>
        <w:rPr>
          <w:rFonts w:ascii="Times New Roman" w:hAnsi="Times New Roman" w:cs="Times New Roman"/>
        </w:rPr>
        <w:t xml:space="preserve"> the dignity of the disabled person and to make modifications that allow them </w:t>
      </w:r>
      <w:r w:rsidR="001A74FF">
        <w:rPr>
          <w:rFonts w:ascii="Times New Roman" w:hAnsi="Times New Roman" w:cs="Times New Roman"/>
        </w:rPr>
        <w:t xml:space="preserve">to </w:t>
      </w:r>
      <w:r>
        <w:rPr>
          <w:rFonts w:ascii="Times New Roman" w:hAnsi="Times New Roman" w:cs="Times New Roman"/>
        </w:rPr>
        <w:t>play a full part in the workplace</w:t>
      </w:r>
      <w:r>
        <w:rPr>
          <w:rStyle w:val="FootnoteReference"/>
          <w:rFonts w:ascii="Times New Roman" w:hAnsi="Times New Roman" w:cs="Times New Roman"/>
        </w:rPr>
        <w:footnoteReference w:id="33"/>
      </w:r>
      <w:r>
        <w:rPr>
          <w:rFonts w:ascii="Times New Roman" w:hAnsi="Times New Roman" w:cs="Times New Roman"/>
        </w:rPr>
        <w:t>. It is not to treat them as objects of charity and to provide a ‘positive disincentive to return to work’</w:t>
      </w:r>
      <w:r>
        <w:rPr>
          <w:rStyle w:val="FootnoteReference"/>
          <w:rFonts w:ascii="Times New Roman" w:hAnsi="Times New Roman" w:cs="Times New Roman"/>
        </w:rPr>
        <w:footnoteReference w:id="34"/>
      </w:r>
      <w:r>
        <w:rPr>
          <w:rFonts w:ascii="Times New Roman" w:hAnsi="Times New Roman" w:cs="Times New Roman"/>
        </w:rPr>
        <w:t>. Nottinghamshire County Council v Meikle</w:t>
      </w:r>
      <w:r>
        <w:rPr>
          <w:rStyle w:val="FootnoteReference"/>
          <w:rFonts w:ascii="Times New Roman" w:hAnsi="Times New Roman" w:cs="Times New Roman"/>
        </w:rPr>
        <w:footnoteReference w:id="35"/>
      </w:r>
      <w:r>
        <w:rPr>
          <w:rFonts w:ascii="Times New Roman" w:hAnsi="Times New Roman" w:cs="Times New Roman"/>
        </w:rPr>
        <w:t xml:space="preserve"> is one such case, where a disabled employee’s sick pay was reduced after she was absent for one hundred days due to her employer’s failure to provide her with appropriate job-related adjustments. As it was the employer’s fault that she was absent, the court found in her </w:t>
      </w:r>
      <w:proofErr w:type="spellStart"/>
      <w:r>
        <w:rPr>
          <w:rFonts w:ascii="Times New Roman" w:hAnsi="Times New Roman" w:cs="Times New Roman"/>
        </w:rPr>
        <w:t>favour</w:t>
      </w:r>
      <w:proofErr w:type="spellEnd"/>
      <w:r>
        <w:rPr>
          <w:rFonts w:ascii="Times New Roman" w:hAnsi="Times New Roman" w:cs="Times New Roman"/>
        </w:rPr>
        <w:t xml:space="preserve">. When concerning them, services and public functions </w:t>
      </w:r>
      <w:r w:rsidRPr="00C1065D">
        <w:rPr>
          <w:rFonts w:ascii="Times New Roman" w:hAnsi="Times New Roman" w:cs="Times New Roman"/>
          <w:color w:val="auto"/>
        </w:rPr>
        <w:t xml:space="preserve">can also </w:t>
      </w:r>
      <w:r w:rsidRPr="00C1065D">
        <w:rPr>
          <w:rFonts w:ascii="Times New Roman" w:hAnsi="Times New Roman" w:cs="Times New Roman"/>
        </w:rPr>
        <w:t xml:space="preserve">adopt a reasonable alternative </w:t>
      </w:r>
      <w:r w:rsidRPr="00C1065D">
        <w:rPr>
          <w:rFonts w:ascii="Times New Roman" w:hAnsi="Times New Roman" w:cs="Times New Roman"/>
        </w:rPr>
        <w:lastRenderedPageBreak/>
        <w:t>method of providing the serv</w:t>
      </w:r>
      <w:r>
        <w:rPr>
          <w:rFonts w:ascii="Times New Roman" w:hAnsi="Times New Roman" w:cs="Times New Roman"/>
        </w:rPr>
        <w:t>ice or exercising the function</w:t>
      </w:r>
      <w:r>
        <w:rPr>
          <w:rStyle w:val="FootnoteReference"/>
          <w:rFonts w:ascii="Times New Roman" w:hAnsi="Times New Roman" w:cs="Times New Roman"/>
        </w:rPr>
        <w:footnoteReference w:id="36"/>
      </w:r>
      <w:r>
        <w:rPr>
          <w:rFonts w:ascii="Times New Roman" w:hAnsi="Times New Roman" w:cs="Times New Roman"/>
        </w:rPr>
        <w:t xml:space="preserve">. </w:t>
      </w:r>
    </w:p>
    <w:p w14:paraId="2E491EE0" w14:textId="77777777" w:rsidR="0086465E" w:rsidRDefault="0086465E" w:rsidP="0086465E">
      <w:pPr>
        <w:pStyle w:val="Default"/>
        <w:spacing w:line="360" w:lineRule="auto"/>
        <w:jc w:val="both"/>
        <w:rPr>
          <w:rFonts w:ascii="Times New Roman" w:hAnsi="Times New Roman" w:cs="Times New Roman"/>
        </w:rPr>
      </w:pPr>
    </w:p>
    <w:p w14:paraId="46324394" w14:textId="09B20A50" w:rsidR="0086465E" w:rsidRPr="00664A91" w:rsidRDefault="0086465E" w:rsidP="0086465E">
      <w:pPr>
        <w:pStyle w:val="Default"/>
        <w:spacing w:line="360" w:lineRule="auto"/>
        <w:ind w:left="567" w:right="503"/>
        <w:jc w:val="both"/>
        <w:rPr>
          <w:rFonts w:ascii="Times New Roman" w:hAnsi="Times New Roman" w:cs="Times New Roman"/>
        </w:rPr>
      </w:pPr>
      <w:r w:rsidRPr="00664A91">
        <w:rPr>
          <w:rFonts w:ascii="Times New Roman" w:hAnsi="Times New Roman" w:cs="Times New Roman"/>
          <w:i/>
        </w:rPr>
        <w:t>‘Being placed at a substantial disadvantage in relation to the exercise of a function means (a) if a benefit is or may be conferred in the exercise of the function, being placed at a substantial disadvantage in relation to the conferment of the benefit, or (b)</w:t>
      </w:r>
      <w:r w:rsidR="00F823F8">
        <w:rPr>
          <w:rFonts w:ascii="Times New Roman" w:hAnsi="Times New Roman" w:cs="Times New Roman"/>
          <w:i/>
        </w:rPr>
        <w:t xml:space="preserve"> </w:t>
      </w:r>
      <w:r w:rsidRPr="00664A91">
        <w:rPr>
          <w:rFonts w:ascii="Times New Roman" w:hAnsi="Times New Roman" w:cs="Times New Roman"/>
          <w:i/>
        </w:rPr>
        <w:t>if a person is or may be subjected to a detriment in the exercise of the function, suffering an unreasonably adverse experience when being subjected to the detriment.’</w:t>
      </w:r>
      <w:r>
        <w:rPr>
          <w:rStyle w:val="FootnoteReference"/>
          <w:rFonts w:ascii="Times New Roman" w:hAnsi="Times New Roman" w:cs="Times New Roman"/>
          <w:i/>
        </w:rPr>
        <w:footnoteReference w:id="37"/>
      </w:r>
    </w:p>
    <w:p w14:paraId="11575FB2" w14:textId="77777777" w:rsidR="0086465E" w:rsidRDefault="0086465E" w:rsidP="0086465E">
      <w:pPr>
        <w:spacing w:line="360" w:lineRule="auto"/>
        <w:jc w:val="both"/>
        <w:rPr>
          <w:rFonts w:ascii="Times New Roman" w:hAnsi="Times New Roman" w:cs="Times New Roman"/>
        </w:rPr>
      </w:pPr>
    </w:p>
    <w:p w14:paraId="5FFEE011" w14:textId="77777777" w:rsidR="0086465E" w:rsidRPr="002E6CEA" w:rsidRDefault="0086465E" w:rsidP="0086465E">
      <w:pPr>
        <w:pStyle w:val="Default"/>
        <w:spacing w:line="360" w:lineRule="auto"/>
        <w:jc w:val="both"/>
        <w:rPr>
          <w:rFonts w:ascii="Times New Roman" w:hAnsi="Times New Roman" w:cs="Times New Roman"/>
          <w:color w:val="auto"/>
        </w:rPr>
      </w:pPr>
      <w:r w:rsidRPr="002E6CEA">
        <w:rPr>
          <w:rFonts w:ascii="Times New Roman" w:hAnsi="Times New Roman" w:cs="Times New Roman"/>
        </w:rPr>
        <w:t>In order to trigger the reasonable adjustment duty, the cause of the substantial disadvantage must be a practice/provision/criterion applied by A, a physical feature of premises occupied by A or the failure to provide an auxiliary aid</w:t>
      </w:r>
      <w:r w:rsidRPr="002E6CEA">
        <w:rPr>
          <w:rStyle w:val="FootnoteReference"/>
          <w:rFonts w:ascii="Times New Roman" w:hAnsi="Times New Roman" w:cs="Times New Roman"/>
        </w:rPr>
        <w:footnoteReference w:id="38"/>
      </w:r>
      <w:r w:rsidRPr="002E6CEA">
        <w:rPr>
          <w:rFonts w:ascii="Times New Roman" w:hAnsi="Times New Roman" w:cs="Times New Roman"/>
        </w:rPr>
        <w:t>. For example, the duty is not triggered if somebody is made redundant for reasons unrelated to one’s disability</w:t>
      </w:r>
      <w:r w:rsidRPr="002E6CEA">
        <w:rPr>
          <w:rStyle w:val="FootnoteReference"/>
          <w:rFonts w:ascii="Times New Roman" w:hAnsi="Times New Roman" w:cs="Times New Roman"/>
        </w:rPr>
        <w:footnoteReference w:id="39"/>
      </w:r>
      <w:r w:rsidRPr="002E6CEA">
        <w:rPr>
          <w:rFonts w:ascii="Times New Roman" w:hAnsi="Times New Roman" w:cs="Times New Roman"/>
        </w:rPr>
        <w:t>. Similarly, a prospective employer is not required to change job specifications where the disabled person lacks the required degree of expertise</w:t>
      </w:r>
      <w:r w:rsidRPr="002E6CEA">
        <w:rPr>
          <w:rStyle w:val="FootnoteReference"/>
          <w:rFonts w:ascii="Times New Roman" w:hAnsi="Times New Roman" w:cs="Times New Roman"/>
        </w:rPr>
        <w:footnoteReference w:id="40"/>
      </w:r>
      <w:r w:rsidRPr="002E6CEA">
        <w:rPr>
          <w:rFonts w:ascii="Times New Roman" w:hAnsi="Times New Roman" w:cs="Times New Roman"/>
        </w:rPr>
        <w:t xml:space="preserve"> Where it is feared that a person may be medically unfit for the job, possible adjustments ought to be considered</w:t>
      </w:r>
      <w:r w:rsidRPr="002E6CEA">
        <w:rPr>
          <w:rStyle w:val="FootnoteReference"/>
          <w:rFonts w:ascii="Times New Roman" w:hAnsi="Times New Roman" w:cs="Times New Roman"/>
        </w:rPr>
        <w:footnoteReference w:id="41"/>
      </w:r>
      <w:r w:rsidRPr="002E6CEA">
        <w:rPr>
          <w:rFonts w:ascii="Times New Roman" w:hAnsi="Times New Roman" w:cs="Times New Roman"/>
        </w:rPr>
        <w:t>. In regards to associations,</w:t>
      </w:r>
      <w:r>
        <w:rPr>
          <w:rFonts w:ascii="Times New Roman" w:hAnsi="Times New Roman" w:cs="Times New Roman"/>
        </w:rPr>
        <w:t xml:space="preserve"> Schedule 15 of the Equality Act 2010 states</w:t>
      </w:r>
      <w:r w:rsidRPr="002E6CEA">
        <w:rPr>
          <w:rFonts w:ascii="Times New Roman" w:hAnsi="Times New Roman" w:cs="Times New Roman"/>
        </w:rPr>
        <w:t xml:space="preserve"> </w:t>
      </w:r>
      <w:r>
        <w:rPr>
          <w:rFonts w:ascii="Times New Roman" w:hAnsi="Times New Roman" w:cs="Times New Roman"/>
        </w:rPr>
        <w:t>‘</w:t>
      </w:r>
      <w:r w:rsidRPr="002E6CEA">
        <w:rPr>
          <w:rFonts w:ascii="Times New Roman" w:hAnsi="Times New Roman" w:cs="Times New Roman"/>
          <w:i/>
        </w:rPr>
        <w:t>this requirement applies in relation to access to a benefit, facility or service; members or associates retaining their rights, or avoiding having them varied, or being admitted to membership or invited as a guest</w:t>
      </w:r>
      <w:r>
        <w:rPr>
          <w:rFonts w:ascii="Times New Roman" w:hAnsi="Times New Roman" w:cs="Times New Roman"/>
          <w:i/>
        </w:rPr>
        <w:t>’</w:t>
      </w:r>
      <w:r>
        <w:rPr>
          <w:rStyle w:val="FootnoteReference"/>
          <w:rFonts w:ascii="Times New Roman" w:hAnsi="Times New Roman" w:cs="Times New Roman"/>
          <w:i/>
        </w:rPr>
        <w:footnoteReference w:id="42"/>
      </w:r>
      <w:r w:rsidRPr="002E6CEA">
        <w:rPr>
          <w:rFonts w:ascii="Times New Roman" w:hAnsi="Times New Roman" w:cs="Times New Roman"/>
        </w:rPr>
        <w:t xml:space="preserve">. </w:t>
      </w:r>
    </w:p>
    <w:p w14:paraId="4FE6D30D" w14:textId="77777777" w:rsidR="0086465E" w:rsidRDefault="0086465E" w:rsidP="0086465E">
      <w:pPr>
        <w:spacing w:line="360" w:lineRule="auto"/>
        <w:jc w:val="both"/>
        <w:rPr>
          <w:rFonts w:ascii="Times New Roman" w:hAnsi="Times New Roman" w:cs="Times New Roman"/>
          <w:lang w:val="en-US"/>
        </w:rPr>
      </w:pPr>
    </w:p>
    <w:p w14:paraId="653B829F" w14:textId="77777777"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 xml:space="preserve">A physical feature is </w:t>
      </w:r>
      <w:r w:rsidRPr="00F4387B">
        <w:rPr>
          <w:rFonts w:ascii="Times New Roman" w:hAnsi="Times New Roman" w:cs="Times New Roman"/>
          <w:lang w:val="en-US"/>
        </w:rPr>
        <w:t>(a)</w:t>
      </w:r>
      <w:r>
        <w:rPr>
          <w:rFonts w:ascii="Times New Roman" w:hAnsi="Times New Roman" w:cs="Times New Roman"/>
          <w:lang w:val="en-US"/>
        </w:rPr>
        <w:t xml:space="preserve"> </w:t>
      </w:r>
      <w:r w:rsidRPr="00F4387B">
        <w:rPr>
          <w:rFonts w:ascii="Times New Roman" w:hAnsi="Times New Roman" w:cs="Times New Roman"/>
          <w:lang w:val="en-US"/>
        </w:rPr>
        <w:t>a</w:t>
      </w:r>
      <w:r>
        <w:rPr>
          <w:rFonts w:ascii="Times New Roman" w:hAnsi="Times New Roman" w:cs="Times New Roman"/>
          <w:lang w:val="en-US"/>
        </w:rPr>
        <w:t xml:space="preserve"> </w:t>
      </w:r>
      <w:r w:rsidRPr="00F4387B">
        <w:rPr>
          <w:rFonts w:ascii="Times New Roman" w:hAnsi="Times New Roman" w:cs="Times New Roman"/>
          <w:lang w:val="en-US"/>
        </w:rPr>
        <w:t>feature arising from the design or construction of a building,</w:t>
      </w:r>
      <w:r>
        <w:rPr>
          <w:rFonts w:ascii="Times New Roman" w:hAnsi="Times New Roman" w:cs="Times New Roman"/>
          <w:lang w:val="en-US"/>
        </w:rPr>
        <w:t xml:space="preserve"> </w:t>
      </w:r>
      <w:r w:rsidRPr="00F4387B">
        <w:rPr>
          <w:rFonts w:ascii="Times New Roman" w:hAnsi="Times New Roman" w:cs="Times New Roman"/>
          <w:lang w:val="en-US"/>
        </w:rPr>
        <w:t>(b)</w:t>
      </w:r>
      <w:r>
        <w:rPr>
          <w:rFonts w:ascii="Times New Roman" w:hAnsi="Times New Roman" w:cs="Times New Roman"/>
          <w:lang w:val="en-US"/>
        </w:rPr>
        <w:t xml:space="preserve"> </w:t>
      </w:r>
      <w:r w:rsidRPr="00F4387B">
        <w:rPr>
          <w:rFonts w:ascii="Times New Roman" w:hAnsi="Times New Roman" w:cs="Times New Roman"/>
          <w:lang w:val="en-US"/>
        </w:rPr>
        <w:t>a feature of an approach to, exit from or access to a building,</w:t>
      </w:r>
      <w:r>
        <w:rPr>
          <w:rFonts w:ascii="Times New Roman" w:hAnsi="Times New Roman" w:cs="Times New Roman"/>
          <w:lang w:val="en-US"/>
        </w:rPr>
        <w:t xml:space="preserve"> </w:t>
      </w:r>
      <w:r w:rsidRPr="00F4387B">
        <w:rPr>
          <w:rFonts w:ascii="Times New Roman" w:hAnsi="Times New Roman" w:cs="Times New Roman"/>
          <w:lang w:val="en-US"/>
        </w:rPr>
        <w:t>(c)</w:t>
      </w:r>
      <w:r>
        <w:rPr>
          <w:rFonts w:ascii="Times New Roman" w:hAnsi="Times New Roman" w:cs="Times New Roman"/>
          <w:lang w:val="en-US"/>
        </w:rPr>
        <w:t xml:space="preserve"> </w:t>
      </w:r>
      <w:r w:rsidRPr="00F4387B">
        <w:rPr>
          <w:rFonts w:ascii="Times New Roman" w:hAnsi="Times New Roman" w:cs="Times New Roman"/>
          <w:lang w:val="en-US"/>
        </w:rPr>
        <w:t>a fixture or fitting, or furniture, furnishings, materials, equipment or other chattels, in or on premises, or</w:t>
      </w:r>
      <w:r>
        <w:rPr>
          <w:rFonts w:ascii="Times New Roman" w:hAnsi="Times New Roman" w:cs="Times New Roman"/>
          <w:lang w:val="en-US"/>
        </w:rPr>
        <w:t xml:space="preserve"> </w:t>
      </w:r>
      <w:r w:rsidRPr="00F4387B">
        <w:rPr>
          <w:rFonts w:ascii="Times New Roman" w:hAnsi="Times New Roman" w:cs="Times New Roman"/>
          <w:lang w:val="en-US"/>
        </w:rPr>
        <w:t>(d)</w:t>
      </w:r>
      <w:r>
        <w:rPr>
          <w:rFonts w:ascii="Times New Roman" w:hAnsi="Times New Roman" w:cs="Times New Roman"/>
          <w:lang w:val="en-US"/>
        </w:rPr>
        <w:t xml:space="preserve"> </w:t>
      </w:r>
      <w:r w:rsidRPr="00F4387B">
        <w:rPr>
          <w:rFonts w:ascii="Times New Roman" w:hAnsi="Times New Roman" w:cs="Times New Roman"/>
          <w:lang w:val="en-US"/>
        </w:rPr>
        <w:t>any other physical element or quality</w:t>
      </w:r>
      <w:r>
        <w:rPr>
          <w:rStyle w:val="FootnoteReference"/>
          <w:rFonts w:ascii="Times New Roman" w:hAnsi="Times New Roman" w:cs="Times New Roman"/>
          <w:lang w:val="en-US"/>
        </w:rPr>
        <w:footnoteReference w:id="43"/>
      </w:r>
      <w:r w:rsidRPr="00F4387B">
        <w:rPr>
          <w:rFonts w:ascii="Times New Roman" w:hAnsi="Times New Roman" w:cs="Times New Roman"/>
          <w:lang w:val="en-US"/>
        </w:rPr>
        <w:t>.</w:t>
      </w:r>
      <w:r>
        <w:rPr>
          <w:rFonts w:ascii="Times New Roman" w:hAnsi="Times New Roman" w:cs="Times New Roman"/>
          <w:lang w:val="en-US"/>
        </w:rPr>
        <w:t xml:space="preserve"> It includes parking and toileting facilities </w:t>
      </w:r>
      <w:r w:rsidRPr="00DE7340">
        <w:rPr>
          <w:rFonts w:ascii="Times New Roman" w:hAnsi="Times New Roman" w:cs="Times New Roman"/>
          <w:lang w:val="en-US"/>
        </w:rPr>
        <w:t>and so does not have to be linked with job performance.</w:t>
      </w:r>
      <w:r>
        <w:rPr>
          <w:rFonts w:ascii="Times New Roman" w:hAnsi="Times New Roman" w:cs="Times New Roman"/>
          <w:lang w:val="en-US"/>
        </w:rPr>
        <w:t xml:space="preserve"> To avoid substantial disadvantage A can (a) remove</w:t>
      </w:r>
      <w:r w:rsidRPr="00DE7340">
        <w:rPr>
          <w:rFonts w:ascii="Times New Roman" w:hAnsi="Times New Roman" w:cs="Times New Roman"/>
          <w:lang w:val="en-US"/>
        </w:rPr>
        <w:t xml:space="preserve"> the physical feature in question,</w:t>
      </w:r>
      <w:r>
        <w:rPr>
          <w:rFonts w:ascii="Times New Roman" w:hAnsi="Times New Roman" w:cs="Times New Roman"/>
          <w:lang w:val="en-US"/>
        </w:rPr>
        <w:t xml:space="preserve"> </w:t>
      </w:r>
      <w:r w:rsidRPr="00DE7340">
        <w:rPr>
          <w:rFonts w:ascii="Times New Roman" w:hAnsi="Times New Roman" w:cs="Times New Roman"/>
          <w:lang w:val="en-US"/>
        </w:rPr>
        <w:t>(b)</w:t>
      </w:r>
      <w:r>
        <w:rPr>
          <w:rFonts w:ascii="Times New Roman" w:hAnsi="Times New Roman" w:cs="Times New Roman"/>
          <w:lang w:val="en-US"/>
        </w:rPr>
        <w:t xml:space="preserve"> alter</w:t>
      </w:r>
      <w:r w:rsidRPr="00DE7340">
        <w:rPr>
          <w:rFonts w:ascii="Times New Roman" w:hAnsi="Times New Roman" w:cs="Times New Roman"/>
          <w:lang w:val="en-US"/>
        </w:rPr>
        <w:t xml:space="preserve"> it, </w:t>
      </w:r>
      <w:r w:rsidRPr="00DE7340">
        <w:rPr>
          <w:rFonts w:ascii="Times New Roman" w:hAnsi="Times New Roman" w:cs="Times New Roman"/>
          <w:lang w:val="en-US"/>
        </w:rPr>
        <w:lastRenderedPageBreak/>
        <w:t>or</w:t>
      </w:r>
      <w:r>
        <w:rPr>
          <w:rFonts w:ascii="Times New Roman" w:hAnsi="Times New Roman" w:cs="Times New Roman"/>
          <w:lang w:val="en-US"/>
        </w:rPr>
        <w:t xml:space="preserve"> </w:t>
      </w:r>
      <w:r w:rsidRPr="00DE7340">
        <w:rPr>
          <w:rFonts w:ascii="Times New Roman" w:hAnsi="Times New Roman" w:cs="Times New Roman"/>
          <w:lang w:val="en-US"/>
        </w:rPr>
        <w:t>(c)</w:t>
      </w:r>
      <w:r>
        <w:rPr>
          <w:rFonts w:ascii="Times New Roman" w:hAnsi="Times New Roman" w:cs="Times New Roman"/>
          <w:lang w:val="en-US"/>
        </w:rPr>
        <w:t xml:space="preserve"> provide</w:t>
      </w:r>
      <w:r w:rsidRPr="00DE7340">
        <w:rPr>
          <w:rFonts w:ascii="Times New Roman" w:hAnsi="Times New Roman" w:cs="Times New Roman"/>
          <w:lang w:val="en-US"/>
        </w:rPr>
        <w:t xml:space="preserve"> a reasonable means of avoiding it</w:t>
      </w:r>
      <w:r>
        <w:rPr>
          <w:rStyle w:val="FootnoteReference"/>
          <w:rFonts w:ascii="Times New Roman" w:hAnsi="Times New Roman" w:cs="Times New Roman"/>
          <w:lang w:val="en-US"/>
        </w:rPr>
        <w:footnoteReference w:id="44"/>
      </w:r>
      <w:r w:rsidRPr="00DE7340">
        <w:rPr>
          <w:rFonts w:ascii="Times New Roman" w:hAnsi="Times New Roman" w:cs="Times New Roman"/>
          <w:lang w:val="en-US"/>
        </w:rPr>
        <w:t>.</w:t>
      </w:r>
      <w:r>
        <w:rPr>
          <w:rFonts w:ascii="Times New Roman" w:hAnsi="Times New Roman" w:cs="Times New Roman"/>
          <w:lang w:val="en-US"/>
        </w:rPr>
        <w:t xml:space="preserve"> The requirement for associations set out in schedule 15 applies here too.</w:t>
      </w:r>
    </w:p>
    <w:p w14:paraId="4EF58F09" w14:textId="77777777" w:rsidR="00FD128A" w:rsidRDefault="00FD128A" w:rsidP="0086465E">
      <w:pPr>
        <w:spacing w:line="360" w:lineRule="auto"/>
        <w:jc w:val="both"/>
        <w:rPr>
          <w:rFonts w:ascii="Times New Roman" w:hAnsi="Times New Roman" w:cs="Times New Roman"/>
          <w:lang w:val="en-US"/>
        </w:rPr>
      </w:pPr>
    </w:p>
    <w:p w14:paraId="1AE27D3A" w14:textId="4C13CBA3" w:rsidR="00561503" w:rsidRPr="00561503" w:rsidRDefault="00561503" w:rsidP="00561503">
      <w:pPr>
        <w:widowControl w:val="0"/>
        <w:autoSpaceDE w:val="0"/>
        <w:autoSpaceDN w:val="0"/>
        <w:adjustRightInd w:val="0"/>
        <w:spacing w:line="360" w:lineRule="auto"/>
        <w:jc w:val="both"/>
        <w:rPr>
          <w:rFonts w:ascii="Times New Roman" w:hAnsi="Times New Roman" w:cs="Times New Roman"/>
          <w:color w:val="000000"/>
          <w:lang w:val="en-US"/>
        </w:rPr>
      </w:pPr>
      <w:r w:rsidRPr="00561503">
        <w:rPr>
          <w:rFonts w:ascii="Times New Roman" w:hAnsi="Times New Roman" w:cs="Times New Roman"/>
          <w:color w:val="000000"/>
          <w:lang w:val="en-US"/>
        </w:rPr>
        <w:t xml:space="preserve">The Act states that where the provision, criterion or practice, or the need for an auxiliary aid or service, relates to the provision of information, the steps, which it is reasonable to take, include steps to ensure that the information is provided in an accessible format. </w:t>
      </w:r>
    </w:p>
    <w:p w14:paraId="370EF2FE" w14:textId="77777777" w:rsidR="0086465E" w:rsidRDefault="0086465E" w:rsidP="0086465E">
      <w:pPr>
        <w:spacing w:line="360" w:lineRule="auto"/>
        <w:jc w:val="both"/>
        <w:rPr>
          <w:rFonts w:ascii="Times New Roman" w:hAnsi="Times New Roman" w:cs="Times New Roman"/>
          <w:lang w:val="en-US"/>
        </w:rPr>
      </w:pPr>
    </w:p>
    <w:p w14:paraId="538CBCF5" w14:textId="395D127A"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Thirdly, A is only expected to make reasonable adjustments if she knew or ought to have known that the applicant or employee would be at a substantial disadvantage as a result of their provisions, criteria, practices or premises. The duty will not, therefore, arise if A does not know or does not have the means of knowing that the person is disabled</w:t>
      </w:r>
      <w:r>
        <w:rPr>
          <w:rStyle w:val="FootnoteReference"/>
          <w:rFonts w:ascii="Times New Roman" w:hAnsi="Times New Roman" w:cs="Times New Roman"/>
          <w:lang w:val="en-US"/>
        </w:rPr>
        <w:footnoteReference w:id="45"/>
      </w:r>
      <w:r>
        <w:rPr>
          <w:rFonts w:ascii="Times New Roman" w:hAnsi="Times New Roman" w:cs="Times New Roman"/>
          <w:lang w:val="en-US"/>
        </w:rPr>
        <w:t>. If a disabled person states that they are not put at a disadvantage by their disability, the duty will not be triggered. For example, a claim made by a person with an artificial arm failed because he said that he was not having difficulties connected with his impairment when asked</w:t>
      </w:r>
      <w:r>
        <w:rPr>
          <w:rStyle w:val="FootnoteReference"/>
          <w:rFonts w:ascii="Times New Roman" w:hAnsi="Times New Roman" w:cs="Times New Roman"/>
          <w:lang w:val="en-US"/>
        </w:rPr>
        <w:footnoteReference w:id="46"/>
      </w:r>
      <w:r>
        <w:rPr>
          <w:rFonts w:ascii="Times New Roman" w:hAnsi="Times New Roman" w:cs="Times New Roman"/>
          <w:lang w:val="en-US"/>
        </w:rPr>
        <w:t xml:space="preserve">. Similarly, in </w:t>
      </w:r>
      <w:proofErr w:type="spellStart"/>
      <w:r>
        <w:rPr>
          <w:rFonts w:ascii="Times New Roman" w:hAnsi="Times New Roman" w:cs="Times New Roman"/>
          <w:lang w:val="en-US"/>
        </w:rPr>
        <w:t>Ridout</w:t>
      </w:r>
      <w:proofErr w:type="spellEnd"/>
      <w:r>
        <w:rPr>
          <w:rFonts w:ascii="Times New Roman" w:hAnsi="Times New Roman" w:cs="Times New Roman"/>
          <w:lang w:val="en-US"/>
        </w:rPr>
        <w:t xml:space="preserve"> v TC Group</w:t>
      </w:r>
      <w:r>
        <w:rPr>
          <w:rStyle w:val="FootnoteReference"/>
          <w:rFonts w:ascii="Times New Roman" w:hAnsi="Times New Roman" w:cs="Times New Roman"/>
          <w:lang w:val="en-US"/>
        </w:rPr>
        <w:footnoteReference w:id="47"/>
      </w:r>
      <w:r>
        <w:rPr>
          <w:rFonts w:ascii="Times New Roman" w:hAnsi="Times New Roman" w:cs="Times New Roman"/>
          <w:lang w:val="en-US"/>
        </w:rPr>
        <w:t>, the argument failed despite the applicant making the employer aware of her medically controlled photosensitive epilepsy prior t</w:t>
      </w:r>
      <w:r w:rsidR="001A74FF">
        <w:rPr>
          <w:rFonts w:ascii="Times New Roman" w:hAnsi="Times New Roman" w:cs="Times New Roman"/>
          <w:lang w:val="en-US"/>
        </w:rPr>
        <w:t>o the interview and indicating</w:t>
      </w:r>
      <w:r>
        <w:rPr>
          <w:rFonts w:ascii="Times New Roman" w:hAnsi="Times New Roman" w:cs="Times New Roman"/>
          <w:lang w:val="en-US"/>
        </w:rPr>
        <w:t xml:space="preserve"> that the bright, florescent lighting, during the interview, may place her at a substantial disadvantage. The employee took this as an explanation as to why she was carrying sunglasses and made no inquiries as to the implications of the condition. This ruling should be treated with suspicion as it appears as if the employer ought to have known that the lighting would have placed her at a substantial disadvantage by simply asking the applicant what could be done to limit the disadvantage. This would </w:t>
      </w:r>
      <w:r w:rsidR="00AB4CC6">
        <w:rPr>
          <w:rFonts w:ascii="Times New Roman" w:hAnsi="Times New Roman" w:cs="Times New Roman"/>
          <w:lang w:val="en-US"/>
        </w:rPr>
        <w:t>not</w:t>
      </w:r>
      <w:bookmarkStart w:id="0" w:name="_GoBack"/>
      <w:bookmarkEnd w:id="0"/>
      <w:r>
        <w:rPr>
          <w:rFonts w:ascii="Times New Roman" w:hAnsi="Times New Roman" w:cs="Times New Roman"/>
          <w:lang w:val="en-US"/>
        </w:rPr>
        <w:t xml:space="preserve"> have been unfairly burdensome and may well have been dealt with easily. It too undermines the purpose of the legislation</w:t>
      </w:r>
      <w:r>
        <w:rPr>
          <w:rStyle w:val="FootnoteReference"/>
          <w:rFonts w:ascii="Times New Roman" w:hAnsi="Times New Roman" w:cs="Times New Roman"/>
          <w:lang w:val="en-US"/>
        </w:rPr>
        <w:footnoteReference w:id="48"/>
      </w:r>
      <w:r>
        <w:rPr>
          <w:rFonts w:ascii="Times New Roman" w:hAnsi="Times New Roman" w:cs="Times New Roman"/>
          <w:lang w:val="en-US"/>
        </w:rPr>
        <w:t>. An assessment to explore the needs and circumstances of the disabled person is ‘a necessary pre-condition’ to the fulfillment of the duty to provide reasonable adjustment</w:t>
      </w:r>
      <w:r>
        <w:rPr>
          <w:rStyle w:val="FootnoteReference"/>
          <w:rFonts w:ascii="Times New Roman" w:hAnsi="Times New Roman" w:cs="Times New Roman"/>
          <w:lang w:val="en-US"/>
        </w:rPr>
        <w:footnoteReference w:id="49"/>
      </w:r>
      <w:r>
        <w:rPr>
          <w:rFonts w:ascii="Times New Roman" w:hAnsi="Times New Roman" w:cs="Times New Roman"/>
          <w:lang w:val="en-US"/>
        </w:rPr>
        <w:t xml:space="preserve">. Failure to assess would not constitute a breach but would </w:t>
      </w:r>
      <w:proofErr w:type="spellStart"/>
      <w:r>
        <w:rPr>
          <w:rFonts w:ascii="Times New Roman" w:hAnsi="Times New Roman" w:cs="Times New Roman"/>
          <w:lang w:val="en-US"/>
        </w:rPr>
        <w:lastRenderedPageBreak/>
        <w:t>jeopardise</w:t>
      </w:r>
      <w:proofErr w:type="spellEnd"/>
      <w:r>
        <w:rPr>
          <w:rFonts w:ascii="Times New Roman" w:hAnsi="Times New Roman" w:cs="Times New Roman"/>
          <w:lang w:val="en-US"/>
        </w:rPr>
        <w:t xml:space="preserve"> the legal position of the employer</w:t>
      </w:r>
      <w:r>
        <w:rPr>
          <w:rStyle w:val="FootnoteReference"/>
          <w:rFonts w:ascii="Times New Roman" w:hAnsi="Times New Roman" w:cs="Times New Roman"/>
          <w:lang w:val="en-US"/>
        </w:rPr>
        <w:footnoteReference w:id="50"/>
      </w:r>
      <w:r>
        <w:rPr>
          <w:rFonts w:ascii="Times New Roman" w:hAnsi="Times New Roman" w:cs="Times New Roman"/>
          <w:lang w:val="en-US"/>
        </w:rPr>
        <w:t xml:space="preserve"> as it ‘may well result in a respondent failing to make adjustments which he ought to make’</w:t>
      </w:r>
      <w:r>
        <w:rPr>
          <w:rStyle w:val="FootnoteReference"/>
          <w:rFonts w:ascii="Times New Roman" w:hAnsi="Times New Roman" w:cs="Times New Roman"/>
          <w:lang w:val="en-US"/>
        </w:rPr>
        <w:footnoteReference w:id="51"/>
      </w:r>
      <w:r>
        <w:rPr>
          <w:rFonts w:ascii="Times New Roman" w:hAnsi="Times New Roman" w:cs="Times New Roman"/>
          <w:lang w:val="en-US"/>
        </w:rPr>
        <w:t xml:space="preserve">. </w:t>
      </w:r>
    </w:p>
    <w:p w14:paraId="5939F62B" w14:textId="77777777" w:rsidR="0086465E" w:rsidRDefault="0086465E" w:rsidP="0086465E">
      <w:pPr>
        <w:spacing w:line="360" w:lineRule="auto"/>
        <w:jc w:val="both"/>
        <w:rPr>
          <w:rFonts w:ascii="Times New Roman" w:hAnsi="Times New Roman" w:cs="Times New Roman"/>
          <w:lang w:val="en-US"/>
        </w:rPr>
      </w:pPr>
    </w:p>
    <w:p w14:paraId="1FA5B06E" w14:textId="102DE6B7"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Fourthly, the adjustment must be reasonable, an objective concept based on the determined facts and circumstances rather than what a particular employer subjectively believed reasonable</w:t>
      </w:r>
      <w:r>
        <w:rPr>
          <w:rStyle w:val="FootnoteReference"/>
          <w:rFonts w:ascii="Times New Roman" w:hAnsi="Times New Roman" w:cs="Times New Roman"/>
          <w:lang w:val="en-US"/>
        </w:rPr>
        <w:footnoteReference w:id="52"/>
      </w:r>
      <w:r>
        <w:rPr>
          <w:rFonts w:ascii="Times New Roman" w:hAnsi="Times New Roman" w:cs="Times New Roman"/>
          <w:lang w:val="en-US"/>
        </w:rPr>
        <w:t>. If a possible adjustment is suggested or discovered, the burden to prove its unreasonableness passes to the defendant</w:t>
      </w:r>
      <w:r>
        <w:rPr>
          <w:rStyle w:val="FootnoteReference"/>
          <w:rFonts w:ascii="Times New Roman" w:hAnsi="Times New Roman" w:cs="Times New Roman"/>
          <w:lang w:val="en-US"/>
        </w:rPr>
        <w:footnoteReference w:id="53"/>
      </w:r>
      <w:r>
        <w:rPr>
          <w:rFonts w:ascii="Times New Roman" w:hAnsi="Times New Roman" w:cs="Times New Roman"/>
          <w:lang w:val="en-US"/>
        </w:rPr>
        <w:t>. There are a number of factors that need to be considered when assessing the reasonableness of t</w:t>
      </w:r>
      <w:r w:rsidR="001A74FF">
        <w:rPr>
          <w:rFonts w:ascii="Times New Roman" w:hAnsi="Times New Roman" w:cs="Times New Roman"/>
          <w:lang w:val="en-US"/>
        </w:rPr>
        <w:t>he adjustment and the DDA offered</w:t>
      </w:r>
      <w:r>
        <w:rPr>
          <w:rFonts w:ascii="Times New Roman" w:hAnsi="Times New Roman" w:cs="Times New Roman"/>
          <w:lang w:val="en-US"/>
        </w:rPr>
        <w:t xml:space="preserve"> much guidance as to the factors</w:t>
      </w:r>
      <w:r>
        <w:rPr>
          <w:rStyle w:val="FootnoteReference"/>
          <w:rFonts w:ascii="Times New Roman" w:hAnsi="Times New Roman" w:cs="Times New Roman"/>
          <w:lang w:val="en-US"/>
        </w:rPr>
        <w:footnoteReference w:id="54"/>
      </w:r>
      <w:r>
        <w:rPr>
          <w:rFonts w:ascii="Times New Roman" w:hAnsi="Times New Roman" w:cs="Times New Roman"/>
          <w:lang w:val="en-US"/>
        </w:rPr>
        <w:t>. Each factor is taken into consideration as the adjustment is judged in light of all the factors. The first is the extent to which the adjustment would remove the substantial disadvantage. Unlike the other factors, it is solely focused on the impact on the disabled person. The fact that it may lead to preferential treatment towards the disabled person is irrelevant</w:t>
      </w:r>
      <w:r>
        <w:rPr>
          <w:rStyle w:val="FootnoteReference"/>
          <w:rFonts w:ascii="Times New Roman" w:hAnsi="Times New Roman" w:cs="Times New Roman"/>
          <w:lang w:val="en-US"/>
        </w:rPr>
        <w:footnoteReference w:id="55"/>
      </w:r>
      <w:r>
        <w:rPr>
          <w:rFonts w:ascii="Times New Roman" w:hAnsi="Times New Roman" w:cs="Times New Roman"/>
          <w:lang w:val="en-US"/>
        </w:rPr>
        <w:t>. The second factor is practicality</w:t>
      </w:r>
      <w:r>
        <w:rPr>
          <w:rStyle w:val="FootnoteReference"/>
          <w:rFonts w:ascii="Times New Roman" w:hAnsi="Times New Roman" w:cs="Times New Roman"/>
          <w:lang w:val="en-US"/>
        </w:rPr>
        <w:footnoteReference w:id="56"/>
      </w:r>
      <w:r>
        <w:rPr>
          <w:rFonts w:ascii="Times New Roman" w:hAnsi="Times New Roman" w:cs="Times New Roman"/>
          <w:lang w:val="en-US"/>
        </w:rPr>
        <w:t xml:space="preserve">. This is linked to financial expense but is not wholly part of it. One example is the length of time it may take to alter an entrance may go beyond that </w:t>
      </w:r>
      <w:r w:rsidR="001A74FF">
        <w:rPr>
          <w:rFonts w:ascii="Times New Roman" w:hAnsi="Times New Roman" w:cs="Times New Roman"/>
          <w:lang w:val="en-US"/>
        </w:rPr>
        <w:t>during</w:t>
      </w:r>
      <w:r>
        <w:rPr>
          <w:rFonts w:ascii="Times New Roman" w:hAnsi="Times New Roman" w:cs="Times New Roman"/>
          <w:lang w:val="en-US"/>
        </w:rPr>
        <w:t xml:space="preserve"> which the employer can conveniently wait for the employee’s services</w:t>
      </w:r>
      <w:r>
        <w:rPr>
          <w:rStyle w:val="FootnoteReference"/>
          <w:rFonts w:ascii="Times New Roman" w:hAnsi="Times New Roman" w:cs="Times New Roman"/>
          <w:lang w:val="en-US"/>
        </w:rPr>
        <w:footnoteReference w:id="57"/>
      </w:r>
      <w:r>
        <w:rPr>
          <w:rFonts w:ascii="Times New Roman" w:hAnsi="Times New Roman" w:cs="Times New Roman"/>
          <w:lang w:val="en-US"/>
        </w:rPr>
        <w:t>. When considering the financial expense of an adjustment</w:t>
      </w:r>
      <w:r>
        <w:rPr>
          <w:rStyle w:val="FootnoteReference"/>
          <w:rFonts w:ascii="Times New Roman" w:hAnsi="Times New Roman" w:cs="Times New Roman"/>
          <w:lang w:val="en-US"/>
        </w:rPr>
        <w:footnoteReference w:id="58"/>
      </w:r>
      <w:r>
        <w:rPr>
          <w:rFonts w:ascii="Times New Roman" w:hAnsi="Times New Roman" w:cs="Times New Roman"/>
          <w:lang w:val="en-US"/>
        </w:rPr>
        <w:t>, the expenditure that would otherwise be undertaken when employing any new person is considered</w:t>
      </w:r>
      <w:r>
        <w:rPr>
          <w:rStyle w:val="FootnoteReference"/>
          <w:rFonts w:ascii="Times New Roman" w:hAnsi="Times New Roman" w:cs="Times New Roman"/>
          <w:lang w:val="en-US"/>
        </w:rPr>
        <w:footnoteReference w:id="59"/>
      </w:r>
      <w:r>
        <w:rPr>
          <w:rFonts w:ascii="Times New Roman" w:hAnsi="Times New Roman" w:cs="Times New Roman"/>
          <w:lang w:val="en-US"/>
        </w:rPr>
        <w:t>. The Access to Work</w:t>
      </w:r>
      <w:r>
        <w:rPr>
          <w:rStyle w:val="FootnoteReference"/>
          <w:rFonts w:ascii="Times New Roman" w:hAnsi="Times New Roman" w:cs="Times New Roman"/>
          <w:lang w:val="en-US"/>
        </w:rPr>
        <w:footnoteReference w:id="60"/>
      </w:r>
      <w:r>
        <w:rPr>
          <w:rFonts w:ascii="Times New Roman" w:hAnsi="Times New Roman" w:cs="Times New Roman"/>
          <w:lang w:val="en-US"/>
        </w:rPr>
        <w:t xml:space="preserve"> scheme plays a significant role in the reasonableness of an adjustment due to the fact</w:t>
      </w:r>
      <w:r w:rsidR="001A74FF">
        <w:rPr>
          <w:rFonts w:ascii="Times New Roman" w:hAnsi="Times New Roman" w:cs="Times New Roman"/>
          <w:lang w:val="en-US"/>
        </w:rPr>
        <w:t xml:space="preserve"> that</w:t>
      </w:r>
      <w:r>
        <w:rPr>
          <w:rFonts w:ascii="Times New Roman" w:hAnsi="Times New Roman" w:cs="Times New Roman"/>
          <w:lang w:val="en-US"/>
        </w:rPr>
        <w:t xml:space="preserve"> the employer’s financial implications can be supported by public money. As a result, what was an unreasonable adjustment is now a viable one, allowing disabled people to work and so </w:t>
      </w:r>
      <w:r>
        <w:rPr>
          <w:rFonts w:ascii="Times New Roman" w:hAnsi="Times New Roman" w:cs="Times New Roman"/>
          <w:lang w:val="en-US"/>
        </w:rPr>
        <w:lastRenderedPageBreak/>
        <w:t>reducing the benefits that they may claim if out of work</w:t>
      </w:r>
      <w:r>
        <w:rPr>
          <w:rStyle w:val="FootnoteReference"/>
          <w:rFonts w:ascii="Times New Roman" w:hAnsi="Times New Roman" w:cs="Times New Roman"/>
          <w:lang w:val="en-US"/>
        </w:rPr>
        <w:footnoteReference w:id="61"/>
      </w:r>
      <w:r>
        <w:rPr>
          <w:rFonts w:ascii="Times New Roman" w:hAnsi="Times New Roman" w:cs="Times New Roman"/>
          <w:lang w:val="en-US"/>
        </w:rPr>
        <w:t>.  In regards to who bears the cost, it will never be the disabled person regardless of wealth</w:t>
      </w:r>
      <w:r>
        <w:rPr>
          <w:rStyle w:val="FootnoteReference"/>
          <w:rFonts w:ascii="Times New Roman" w:hAnsi="Times New Roman" w:cs="Times New Roman"/>
          <w:lang w:val="en-US"/>
        </w:rPr>
        <w:footnoteReference w:id="62"/>
      </w:r>
      <w:r>
        <w:rPr>
          <w:rFonts w:ascii="Times New Roman" w:hAnsi="Times New Roman" w:cs="Times New Roman"/>
          <w:lang w:val="en-US"/>
        </w:rPr>
        <w:t>. In addition to the financial cost, disruption to the employer’s business is another burden that is considered</w:t>
      </w:r>
      <w:r>
        <w:rPr>
          <w:rStyle w:val="FootnoteReference"/>
          <w:rFonts w:ascii="Times New Roman" w:hAnsi="Times New Roman" w:cs="Times New Roman"/>
          <w:lang w:val="en-US"/>
        </w:rPr>
        <w:footnoteReference w:id="63"/>
      </w:r>
      <w:r>
        <w:rPr>
          <w:rFonts w:ascii="Times New Roman" w:hAnsi="Times New Roman" w:cs="Times New Roman"/>
          <w:lang w:val="en-US"/>
        </w:rPr>
        <w:t>. There is a balance of equality and private and family life in relation to those who work in private homes</w:t>
      </w:r>
      <w:r>
        <w:rPr>
          <w:rStyle w:val="FootnoteReference"/>
          <w:rFonts w:ascii="Times New Roman" w:hAnsi="Times New Roman" w:cs="Times New Roman"/>
          <w:lang w:val="en-US"/>
        </w:rPr>
        <w:footnoteReference w:id="64"/>
      </w:r>
      <w:r>
        <w:rPr>
          <w:rFonts w:ascii="Times New Roman" w:hAnsi="Times New Roman" w:cs="Times New Roman"/>
          <w:lang w:val="en-US"/>
        </w:rPr>
        <w:t>. Here, the court will consider the need for reasonable adjustments in balance with the impact on the lives of the people who live in the private homes.</w:t>
      </w:r>
    </w:p>
    <w:p w14:paraId="326E3983" w14:textId="77777777" w:rsidR="0086465E" w:rsidRDefault="0086465E" w:rsidP="0086465E">
      <w:pPr>
        <w:spacing w:line="360" w:lineRule="auto"/>
        <w:jc w:val="both"/>
        <w:rPr>
          <w:rFonts w:ascii="Times New Roman" w:hAnsi="Times New Roman" w:cs="Times New Roman"/>
          <w:lang w:val="en-US"/>
        </w:rPr>
      </w:pPr>
    </w:p>
    <w:p w14:paraId="49A1305B" w14:textId="1C7315FB"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In regards to reasonable alterations to physical features of premise</w:t>
      </w:r>
      <w:r w:rsidR="001A74FF">
        <w:rPr>
          <w:rFonts w:ascii="Times New Roman" w:hAnsi="Times New Roman" w:cs="Times New Roman"/>
          <w:lang w:val="en-US"/>
        </w:rPr>
        <w:t>s</w:t>
      </w:r>
      <w:r>
        <w:rPr>
          <w:rFonts w:ascii="Times New Roman" w:hAnsi="Times New Roman" w:cs="Times New Roman"/>
          <w:lang w:val="en-US"/>
        </w:rPr>
        <w:t xml:space="preserve"> there are two things to consider: the basic building regulations and the legal obstacles to making alterations. When a new building is constructed or an existing building is materially altered, regulations</w:t>
      </w:r>
      <w:r>
        <w:rPr>
          <w:rStyle w:val="FootnoteReference"/>
          <w:rFonts w:ascii="Times New Roman" w:hAnsi="Times New Roman" w:cs="Times New Roman"/>
          <w:lang w:val="en-US"/>
        </w:rPr>
        <w:footnoteReference w:id="65"/>
      </w:r>
      <w:r>
        <w:rPr>
          <w:rFonts w:ascii="Times New Roman" w:hAnsi="Times New Roman" w:cs="Times New Roman"/>
          <w:lang w:val="en-US"/>
        </w:rPr>
        <w:t xml:space="preserve"> set basic access requirements. Additional adjustments can also be made to remove the disadvantage that would otherwise be experience</w:t>
      </w:r>
      <w:r w:rsidR="001A74FF">
        <w:rPr>
          <w:rFonts w:ascii="Times New Roman" w:hAnsi="Times New Roman" w:cs="Times New Roman"/>
          <w:lang w:val="en-US"/>
        </w:rPr>
        <w:t>d</w:t>
      </w:r>
      <w:r>
        <w:rPr>
          <w:rFonts w:ascii="Times New Roman" w:hAnsi="Times New Roman" w:cs="Times New Roman"/>
          <w:lang w:val="en-US"/>
        </w:rPr>
        <w:t xml:space="preserve"> by the disabled employee</w:t>
      </w:r>
      <w:r>
        <w:rPr>
          <w:rStyle w:val="FootnoteReference"/>
          <w:rFonts w:ascii="Times New Roman" w:hAnsi="Times New Roman" w:cs="Times New Roman"/>
          <w:lang w:val="en-US"/>
        </w:rPr>
        <w:footnoteReference w:id="66"/>
      </w:r>
      <w:r>
        <w:rPr>
          <w:rFonts w:ascii="Times New Roman" w:hAnsi="Times New Roman" w:cs="Times New Roman"/>
          <w:lang w:val="en-US"/>
        </w:rPr>
        <w:t>. It is unlikely that it will be reasonable for the employer to make additional adjustments if the premises are compliant with the regulations, which are more rigorous.</w:t>
      </w:r>
      <w:r>
        <w:rPr>
          <w:rStyle w:val="FootnoteReference"/>
          <w:rFonts w:ascii="Times New Roman" w:hAnsi="Times New Roman" w:cs="Times New Roman"/>
          <w:lang w:val="en-US"/>
        </w:rPr>
        <w:footnoteReference w:id="67"/>
      </w:r>
    </w:p>
    <w:p w14:paraId="47C8DDC3" w14:textId="77777777" w:rsidR="0086465E" w:rsidRDefault="0086465E" w:rsidP="0086465E">
      <w:pPr>
        <w:spacing w:line="360" w:lineRule="auto"/>
        <w:jc w:val="both"/>
        <w:rPr>
          <w:rFonts w:ascii="Times New Roman" w:hAnsi="Times New Roman" w:cs="Times New Roman"/>
          <w:lang w:val="en-US"/>
        </w:rPr>
      </w:pPr>
    </w:p>
    <w:p w14:paraId="7FF05F59" w14:textId="4507FCAA"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 xml:space="preserve">There are three legally imposed obstacles, which without </w:t>
      </w:r>
      <w:r w:rsidR="001A74FF">
        <w:rPr>
          <w:rFonts w:ascii="Times New Roman" w:hAnsi="Times New Roman" w:cs="Times New Roman"/>
          <w:lang w:val="en-US"/>
        </w:rPr>
        <w:t>overcoming</w:t>
      </w:r>
      <w:r>
        <w:rPr>
          <w:rFonts w:ascii="Times New Roman" w:hAnsi="Times New Roman" w:cs="Times New Roman"/>
          <w:lang w:val="en-US"/>
        </w:rPr>
        <w:t>, the employer will not be able to make the required physical alterations to carry out the reasonable adjustment duty. The first is that the employee is still required to obtain statutory regulated consent; for example, planning permission. The employer may be able to make interim adjustments until she obtains the necessary consent</w:t>
      </w:r>
      <w:r>
        <w:rPr>
          <w:rStyle w:val="FootnoteReference"/>
          <w:rFonts w:ascii="Times New Roman" w:hAnsi="Times New Roman" w:cs="Times New Roman"/>
          <w:lang w:val="en-US"/>
        </w:rPr>
        <w:footnoteReference w:id="68"/>
      </w:r>
      <w:r>
        <w:rPr>
          <w:rFonts w:ascii="Times New Roman" w:hAnsi="Times New Roman" w:cs="Times New Roman"/>
          <w:lang w:val="en-US"/>
        </w:rPr>
        <w:t xml:space="preserve">. The second is that it will always be reasonable for the employee to get the permission of another person </w:t>
      </w:r>
      <w:r>
        <w:rPr>
          <w:rFonts w:ascii="Times New Roman" w:hAnsi="Times New Roman" w:cs="Times New Roman"/>
          <w:lang w:val="en-US"/>
        </w:rPr>
        <w:lastRenderedPageBreak/>
        <w:t>if they are legally obliged to do so</w:t>
      </w:r>
      <w:r>
        <w:rPr>
          <w:rStyle w:val="FootnoteReference"/>
          <w:rFonts w:ascii="Times New Roman" w:hAnsi="Times New Roman" w:cs="Times New Roman"/>
          <w:lang w:val="en-US"/>
        </w:rPr>
        <w:footnoteReference w:id="69"/>
      </w:r>
      <w:r>
        <w:rPr>
          <w:rFonts w:ascii="Times New Roman" w:hAnsi="Times New Roman" w:cs="Times New Roman"/>
          <w:lang w:val="en-US"/>
        </w:rPr>
        <w:t xml:space="preserve">. Such cases include a charge, mortgage or restrictive covenant. The third, in relation to leases, </w:t>
      </w:r>
      <w:r w:rsidR="001A74FF">
        <w:rPr>
          <w:rFonts w:ascii="Times New Roman" w:hAnsi="Times New Roman" w:cs="Times New Roman"/>
          <w:lang w:val="en-US"/>
        </w:rPr>
        <w:t xml:space="preserve">is that </w:t>
      </w:r>
      <w:r>
        <w:rPr>
          <w:rFonts w:ascii="Times New Roman" w:hAnsi="Times New Roman" w:cs="Times New Roman"/>
          <w:lang w:val="en-US"/>
        </w:rPr>
        <w:t>it will be implied from the lease that the employer will be able to apply to the landlord for consent to the carrying out of disability-related physical alterations</w:t>
      </w:r>
      <w:r>
        <w:rPr>
          <w:rStyle w:val="FootnoteReference"/>
          <w:rFonts w:ascii="Times New Roman" w:hAnsi="Times New Roman" w:cs="Times New Roman"/>
          <w:lang w:val="en-US"/>
        </w:rPr>
        <w:footnoteReference w:id="70"/>
      </w:r>
      <w:r>
        <w:rPr>
          <w:rFonts w:ascii="Times New Roman" w:hAnsi="Times New Roman" w:cs="Times New Roman"/>
          <w:lang w:val="en-US"/>
        </w:rPr>
        <w:t>. The landlord’s unreasonable withdrawal of consent is prohibited but he can attach reasonable conditions to it</w:t>
      </w:r>
      <w:r>
        <w:rPr>
          <w:rStyle w:val="FootnoteReference"/>
          <w:rFonts w:ascii="Times New Roman" w:hAnsi="Times New Roman" w:cs="Times New Roman"/>
          <w:lang w:val="en-US"/>
        </w:rPr>
        <w:footnoteReference w:id="71"/>
      </w:r>
      <w:r>
        <w:rPr>
          <w:rFonts w:ascii="Times New Roman" w:hAnsi="Times New Roman" w:cs="Times New Roman"/>
          <w:lang w:val="en-US"/>
        </w:rPr>
        <w:t xml:space="preserve">. </w:t>
      </w:r>
    </w:p>
    <w:p w14:paraId="6B408C71" w14:textId="77777777" w:rsidR="006137BD" w:rsidRDefault="006137BD" w:rsidP="0086465E">
      <w:pPr>
        <w:spacing w:line="360" w:lineRule="auto"/>
        <w:jc w:val="both"/>
        <w:rPr>
          <w:rFonts w:ascii="Times New Roman" w:hAnsi="Times New Roman" w:cs="Times New Roman"/>
          <w:lang w:val="en-US"/>
        </w:rPr>
      </w:pPr>
    </w:p>
    <w:p w14:paraId="3DCEBE24" w14:textId="747A13DD" w:rsidR="006137BD" w:rsidRDefault="006137BD" w:rsidP="0086465E">
      <w:pPr>
        <w:spacing w:line="360" w:lineRule="auto"/>
        <w:jc w:val="both"/>
        <w:rPr>
          <w:rFonts w:ascii="Times New Roman" w:hAnsi="Times New Roman" w:cs="Times New Roman"/>
          <w:lang w:val="en-US"/>
        </w:rPr>
      </w:pPr>
      <w:r>
        <w:rPr>
          <w:rFonts w:ascii="Times New Roman" w:hAnsi="Times New Roman" w:cs="Times New Roman"/>
          <w:lang w:val="en-US"/>
        </w:rPr>
        <w:t>The reactive duty to provide reasonable adjustment usually appears in the employment and education context</w:t>
      </w:r>
      <w:r w:rsidR="00D72460">
        <w:rPr>
          <w:rFonts w:ascii="Times New Roman" w:hAnsi="Times New Roman" w:cs="Times New Roman"/>
          <w:lang w:val="en-US"/>
        </w:rPr>
        <w:t>. It is designed to meet the needs of a particular disabled person.</w:t>
      </w:r>
      <w:r w:rsidR="00FE0389">
        <w:rPr>
          <w:rFonts w:ascii="Times New Roman" w:hAnsi="Times New Roman" w:cs="Times New Roman"/>
          <w:lang w:val="en-US"/>
        </w:rPr>
        <w:t xml:space="preserve"> This, therefore, requires a disabled person to inform the duty-bearer of their disability and needs. Without this person, there is no duty to provide </w:t>
      </w:r>
      <w:r w:rsidR="00D10036">
        <w:rPr>
          <w:rFonts w:ascii="Times New Roman" w:hAnsi="Times New Roman" w:cs="Times New Roman"/>
          <w:lang w:val="en-US"/>
        </w:rPr>
        <w:t xml:space="preserve">reasonable adjustment. The </w:t>
      </w:r>
      <w:r w:rsidR="006D70C5">
        <w:rPr>
          <w:rFonts w:ascii="Times New Roman" w:hAnsi="Times New Roman" w:cs="Times New Roman"/>
          <w:lang w:val="en-US"/>
        </w:rPr>
        <w:t>anticipatory duty</w:t>
      </w:r>
      <w:r w:rsidR="005E7CD9">
        <w:rPr>
          <w:rFonts w:ascii="Times New Roman" w:hAnsi="Times New Roman" w:cs="Times New Roman"/>
          <w:lang w:val="en-US"/>
        </w:rPr>
        <w:t>, however,</w:t>
      </w:r>
      <w:r w:rsidR="006D70C5">
        <w:rPr>
          <w:rFonts w:ascii="Times New Roman" w:hAnsi="Times New Roman" w:cs="Times New Roman"/>
          <w:lang w:val="en-US"/>
        </w:rPr>
        <w:t xml:space="preserve"> compels the duty-bearer to foresee </w:t>
      </w:r>
      <w:r w:rsidR="005E7CD9">
        <w:rPr>
          <w:rFonts w:ascii="Times New Roman" w:hAnsi="Times New Roman" w:cs="Times New Roman"/>
          <w:lang w:val="en-US"/>
        </w:rPr>
        <w:t xml:space="preserve">the needs of broad groups of disabled people. </w:t>
      </w:r>
    </w:p>
    <w:p w14:paraId="4386CD8C" w14:textId="77777777" w:rsidR="0086465E" w:rsidRDefault="0086465E" w:rsidP="0086465E">
      <w:pPr>
        <w:spacing w:line="360" w:lineRule="auto"/>
        <w:jc w:val="both"/>
        <w:rPr>
          <w:rFonts w:ascii="Times New Roman" w:hAnsi="Times New Roman" w:cs="Times New Roman"/>
          <w:lang w:val="en-US"/>
        </w:rPr>
      </w:pPr>
    </w:p>
    <w:p w14:paraId="25884336" w14:textId="3C251AE5" w:rsidR="0086465E" w:rsidRDefault="000E553A" w:rsidP="0086465E">
      <w:pPr>
        <w:spacing w:line="360" w:lineRule="auto"/>
        <w:jc w:val="both"/>
        <w:rPr>
          <w:rFonts w:ascii="Times New Roman" w:hAnsi="Times New Roman" w:cs="Times New Roman"/>
          <w:b/>
          <w:lang w:val="en-US"/>
        </w:rPr>
      </w:pPr>
      <w:r>
        <w:rPr>
          <w:rFonts w:ascii="Times New Roman" w:hAnsi="Times New Roman" w:cs="Times New Roman"/>
          <w:b/>
          <w:lang w:val="en-US"/>
        </w:rPr>
        <w:t xml:space="preserve">2b. </w:t>
      </w:r>
      <w:r w:rsidR="00D10036">
        <w:rPr>
          <w:rFonts w:ascii="Times New Roman" w:hAnsi="Times New Roman" w:cs="Times New Roman"/>
          <w:b/>
          <w:lang w:val="en-US"/>
        </w:rPr>
        <w:t>Anticipatory Duty</w:t>
      </w:r>
    </w:p>
    <w:p w14:paraId="77872FCD" w14:textId="77777777" w:rsidR="0086465E" w:rsidRDefault="0086465E" w:rsidP="0086465E">
      <w:pPr>
        <w:spacing w:line="360" w:lineRule="auto"/>
        <w:jc w:val="both"/>
        <w:rPr>
          <w:rFonts w:ascii="Times New Roman" w:hAnsi="Times New Roman" w:cs="Times New Roman"/>
          <w:lang w:val="en-US"/>
        </w:rPr>
      </w:pPr>
    </w:p>
    <w:p w14:paraId="1841CCBA" w14:textId="77777777"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 xml:space="preserve">The anticipatory duty to provide reasonable adjustments relates to </w:t>
      </w:r>
      <w:r w:rsidRPr="001F6EA7">
        <w:rPr>
          <w:rFonts w:ascii="Times New Roman" w:hAnsi="Times New Roman" w:cs="Times New Roman"/>
        </w:rPr>
        <w:t>services and public functions</w:t>
      </w:r>
      <w:r w:rsidRPr="001F6EA7">
        <w:rPr>
          <w:rStyle w:val="FootnoteReference"/>
          <w:rFonts w:ascii="Times New Roman" w:hAnsi="Times New Roman" w:cs="Times New Roman"/>
        </w:rPr>
        <w:footnoteReference w:id="72"/>
      </w:r>
      <w:r w:rsidRPr="001F6EA7">
        <w:rPr>
          <w:rFonts w:ascii="Times New Roman" w:hAnsi="Times New Roman" w:cs="Times New Roman"/>
        </w:rPr>
        <w:t>, education providers</w:t>
      </w:r>
      <w:r w:rsidRPr="001F6EA7">
        <w:rPr>
          <w:rStyle w:val="FootnoteReference"/>
          <w:rFonts w:ascii="Times New Roman" w:hAnsi="Times New Roman" w:cs="Times New Roman"/>
        </w:rPr>
        <w:footnoteReference w:id="73"/>
      </w:r>
      <w:r w:rsidRPr="001F6EA7">
        <w:rPr>
          <w:rFonts w:ascii="Times New Roman" w:hAnsi="Times New Roman" w:cs="Times New Roman"/>
        </w:rPr>
        <w:t xml:space="preserve"> and associations</w:t>
      </w:r>
      <w:r w:rsidRPr="001F6EA7">
        <w:rPr>
          <w:rStyle w:val="FootnoteReference"/>
          <w:rFonts w:ascii="Times New Roman" w:hAnsi="Times New Roman" w:cs="Times New Roman"/>
        </w:rPr>
        <w:footnoteReference w:id="74"/>
      </w:r>
      <w:r>
        <w:rPr>
          <w:rFonts w:ascii="Times New Roman" w:hAnsi="Times New Roman" w:cs="Times New Roman"/>
        </w:rPr>
        <w:t>. It does not apply in the employment context, although it is argued that adjustments may be made through indirect discrimination</w:t>
      </w:r>
      <w:r>
        <w:rPr>
          <w:rStyle w:val="FootnoteReference"/>
          <w:rFonts w:ascii="Times New Roman" w:hAnsi="Times New Roman" w:cs="Times New Roman"/>
        </w:rPr>
        <w:footnoteReference w:id="75"/>
      </w:r>
      <w:r>
        <w:rPr>
          <w:rFonts w:ascii="Times New Roman" w:hAnsi="Times New Roman" w:cs="Times New Roman"/>
        </w:rPr>
        <w:t xml:space="preserve">. The duty </w:t>
      </w:r>
      <w:r>
        <w:rPr>
          <w:rFonts w:ascii="Times New Roman" w:hAnsi="Times New Roman" w:cs="Times New Roman"/>
          <w:lang w:val="en-US"/>
        </w:rPr>
        <w:t>acts differently to reactive duties as duty-bearers are required to anticipate barriers that their operations present and take steps to reduce or remove the obstacles. It, therefore, acts in advance of the appearance of a disabled person. This, however, does not mean that the duty-bearers will not be required to make additional adjustments in reaction to the appearance of a disabled person where necessary</w:t>
      </w:r>
      <w:r>
        <w:rPr>
          <w:rStyle w:val="FootnoteReference"/>
          <w:rFonts w:ascii="Times New Roman" w:hAnsi="Times New Roman" w:cs="Times New Roman"/>
          <w:lang w:val="en-US"/>
        </w:rPr>
        <w:footnoteReference w:id="76"/>
      </w:r>
      <w:r>
        <w:rPr>
          <w:rFonts w:ascii="Times New Roman" w:hAnsi="Times New Roman" w:cs="Times New Roman"/>
          <w:lang w:val="en-US"/>
        </w:rPr>
        <w:t xml:space="preserve">. The distinction between reactive and anticipatory duties to provide </w:t>
      </w:r>
      <w:r>
        <w:rPr>
          <w:rFonts w:ascii="Times New Roman" w:hAnsi="Times New Roman" w:cs="Times New Roman"/>
          <w:lang w:val="en-US"/>
        </w:rPr>
        <w:lastRenderedPageBreak/>
        <w:t xml:space="preserve">reasonable adjustments is not clear from the Act itself but is inferred given the use of the phrase ‘disabled persons’ as opposed to the singular ‘a disabled person’. </w:t>
      </w:r>
    </w:p>
    <w:p w14:paraId="2F57BBC9" w14:textId="77777777" w:rsidR="0086465E" w:rsidRDefault="0086465E" w:rsidP="0086465E">
      <w:pPr>
        <w:spacing w:line="360" w:lineRule="auto"/>
        <w:jc w:val="both"/>
        <w:rPr>
          <w:rFonts w:ascii="Times New Roman" w:hAnsi="Times New Roman" w:cs="Times New Roman"/>
          <w:lang w:val="en-US"/>
        </w:rPr>
      </w:pPr>
    </w:p>
    <w:p w14:paraId="53CBDB0C" w14:textId="633F4FD2"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 xml:space="preserve">The first requirement of the anticipatory duty to provide reasonable adjustments is ‘disabled persons’ </w:t>
      </w:r>
      <w:r w:rsidR="00744303">
        <w:rPr>
          <w:rFonts w:ascii="Times New Roman" w:hAnsi="Times New Roman" w:cs="Times New Roman"/>
          <w:lang w:val="en-US"/>
        </w:rPr>
        <w:t xml:space="preserve">that </w:t>
      </w:r>
      <w:r>
        <w:rPr>
          <w:rFonts w:ascii="Times New Roman" w:hAnsi="Times New Roman" w:cs="Times New Roman"/>
          <w:lang w:val="en-US"/>
        </w:rPr>
        <w:t xml:space="preserve">are at a substantial disadvantage (as described above) when using the service, being involved in the association’s goings on, or the education provider or their use of it would be facilitated by the provision of an auxiliary aid or service. It is, therefore, the on-going responsibility </w:t>
      </w:r>
      <w:r w:rsidR="00744303">
        <w:rPr>
          <w:rFonts w:ascii="Times New Roman" w:hAnsi="Times New Roman" w:cs="Times New Roman"/>
          <w:lang w:val="en-US"/>
        </w:rPr>
        <w:t xml:space="preserve">of the duty-bearer </w:t>
      </w:r>
      <w:r>
        <w:rPr>
          <w:rFonts w:ascii="Times New Roman" w:hAnsi="Times New Roman" w:cs="Times New Roman"/>
          <w:lang w:val="en-US"/>
        </w:rPr>
        <w:t>to gauge how easily the service can be used by broad groups of disabled people, not individuals</w:t>
      </w:r>
      <w:r>
        <w:rPr>
          <w:rStyle w:val="FootnoteReference"/>
          <w:rFonts w:ascii="Times New Roman" w:hAnsi="Times New Roman" w:cs="Times New Roman"/>
          <w:lang w:val="en-US"/>
        </w:rPr>
        <w:footnoteReference w:id="77"/>
      </w:r>
      <w:r>
        <w:rPr>
          <w:rFonts w:ascii="Times New Roman" w:hAnsi="Times New Roman" w:cs="Times New Roman"/>
          <w:lang w:val="en-US"/>
        </w:rPr>
        <w:t>. Wheelchair users are an example of such a board group of disabled people</w:t>
      </w:r>
      <w:r>
        <w:rPr>
          <w:rStyle w:val="FootnoteReference"/>
          <w:rFonts w:ascii="Times New Roman" w:hAnsi="Times New Roman" w:cs="Times New Roman"/>
          <w:lang w:val="en-US"/>
        </w:rPr>
        <w:footnoteReference w:id="78"/>
      </w:r>
      <w:r>
        <w:rPr>
          <w:rFonts w:ascii="Times New Roman" w:hAnsi="Times New Roman" w:cs="Times New Roman"/>
          <w:lang w:val="en-US"/>
        </w:rPr>
        <w:t>. An individual is required, however, to bring a claim in discrimination, as the anticipatory duty is not enforceable in its own right</w:t>
      </w:r>
      <w:r>
        <w:rPr>
          <w:rStyle w:val="FootnoteReference"/>
          <w:rFonts w:ascii="Times New Roman" w:hAnsi="Times New Roman" w:cs="Times New Roman"/>
          <w:lang w:val="en-US"/>
        </w:rPr>
        <w:footnoteReference w:id="79"/>
      </w:r>
      <w:r>
        <w:rPr>
          <w:rFonts w:ascii="Times New Roman" w:hAnsi="Times New Roman" w:cs="Times New Roman"/>
          <w:lang w:val="en-US"/>
        </w:rPr>
        <w:t>. The argument for such a claim lies with the fact that the person is at a substantial disadvantage due to the duty-bearer</w:t>
      </w:r>
      <w:r w:rsidR="0066593C">
        <w:rPr>
          <w:rFonts w:ascii="Times New Roman" w:hAnsi="Times New Roman" w:cs="Times New Roman"/>
          <w:lang w:val="en-US"/>
        </w:rPr>
        <w:t>’</w:t>
      </w:r>
      <w:r>
        <w:rPr>
          <w:rFonts w:ascii="Times New Roman" w:hAnsi="Times New Roman" w:cs="Times New Roman"/>
          <w:lang w:val="en-US"/>
        </w:rPr>
        <w:t>s failure to comply with the duty; firstly, for ‘disabled persons’ and secondly for the individual. In ascertaining a broad group, the judges should ‘rely on their own appraisal of the situation’</w:t>
      </w:r>
      <w:r>
        <w:rPr>
          <w:rStyle w:val="FootnoteReference"/>
          <w:rFonts w:ascii="Times New Roman" w:hAnsi="Times New Roman" w:cs="Times New Roman"/>
          <w:lang w:val="en-US"/>
        </w:rPr>
        <w:footnoteReference w:id="80"/>
      </w:r>
      <w:r>
        <w:rPr>
          <w:rFonts w:ascii="Times New Roman" w:hAnsi="Times New Roman" w:cs="Times New Roman"/>
          <w:lang w:val="en-US"/>
        </w:rPr>
        <w:t>, taking expert evidence into account where necessary</w:t>
      </w:r>
      <w:r>
        <w:rPr>
          <w:rStyle w:val="FootnoteReference"/>
          <w:rFonts w:ascii="Times New Roman" w:hAnsi="Times New Roman" w:cs="Times New Roman"/>
          <w:lang w:val="en-US"/>
        </w:rPr>
        <w:footnoteReference w:id="81"/>
      </w:r>
      <w:r>
        <w:rPr>
          <w:rFonts w:ascii="Times New Roman" w:hAnsi="Times New Roman" w:cs="Times New Roman"/>
          <w:lang w:val="en-US"/>
        </w:rPr>
        <w:t>, as opposed to statistics. Anna Lawson</w:t>
      </w:r>
      <w:r>
        <w:rPr>
          <w:rStyle w:val="FootnoteReference"/>
          <w:rFonts w:ascii="Times New Roman" w:hAnsi="Times New Roman" w:cs="Times New Roman"/>
          <w:lang w:val="en-US"/>
        </w:rPr>
        <w:footnoteReference w:id="82"/>
      </w:r>
      <w:r>
        <w:rPr>
          <w:rFonts w:ascii="Times New Roman" w:hAnsi="Times New Roman" w:cs="Times New Roman"/>
          <w:lang w:val="en-US"/>
        </w:rPr>
        <w:t xml:space="preserve"> welcomes this approach as it reinforces the group aspect </w:t>
      </w:r>
      <w:r w:rsidR="0066593C">
        <w:rPr>
          <w:rFonts w:ascii="Times New Roman" w:hAnsi="Times New Roman" w:cs="Times New Roman"/>
          <w:lang w:val="en-US"/>
        </w:rPr>
        <w:t>of the anticipatory duty and it</w:t>
      </w:r>
      <w:r>
        <w:rPr>
          <w:rFonts w:ascii="Times New Roman" w:hAnsi="Times New Roman" w:cs="Times New Roman"/>
          <w:lang w:val="en-US"/>
        </w:rPr>
        <w:t>s role in breaking down structural barriers</w:t>
      </w:r>
      <w:r>
        <w:rPr>
          <w:rStyle w:val="FootnoteReference"/>
          <w:rFonts w:ascii="Times New Roman" w:hAnsi="Times New Roman" w:cs="Times New Roman"/>
          <w:lang w:val="en-US"/>
        </w:rPr>
        <w:footnoteReference w:id="83"/>
      </w:r>
      <w:r>
        <w:rPr>
          <w:rFonts w:ascii="Times New Roman" w:hAnsi="Times New Roman" w:cs="Times New Roman"/>
          <w:lang w:val="en-US"/>
        </w:rPr>
        <w:t>. Lawson praises avoiding complex and expensive collection and analysis of statistics by relying on the judges’ assessment in a particular case</w:t>
      </w:r>
      <w:r>
        <w:rPr>
          <w:rStyle w:val="FootnoteReference"/>
          <w:rFonts w:ascii="Times New Roman" w:hAnsi="Times New Roman" w:cs="Times New Roman"/>
          <w:lang w:val="en-US"/>
        </w:rPr>
        <w:footnoteReference w:id="84"/>
      </w:r>
      <w:r>
        <w:rPr>
          <w:rFonts w:ascii="Times New Roman" w:hAnsi="Times New Roman" w:cs="Times New Roman"/>
          <w:lang w:val="en-US"/>
        </w:rPr>
        <w:t>.</w:t>
      </w:r>
    </w:p>
    <w:p w14:paraId="4E9F2AB5" w14:textId="77777777" w:rsidR="0086465E" w:rsidRDefault="0086465E" w:rsidP="0086465E">
      <w:pPr>
        <w:spacing w:line="360" w:lineRule="auto"/>
        <w:jc w:val="both"/>
        <w:rPr>
          <w:rFonts w:ascii="Times New Roman" w:hAnsi="Times New Roman" w:cs="Times New Roman"/>
          <w:lang w:val="en-US"/>
        </w:rPr>
      </w:pPr>
    </w:p>
    <w:p w14:paraId="4B36494E" w14:textId="5C7FEFF9"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There is also a reactive element to the anticipatory duty where the duty-bearer will be required to respond to the particular needs of one disabled person when they become aware of that person and the specific difficulty faced by the person. This is more likely to occur in the context of education where the relationship is ‘long-lasting and close’</w:t>
      </w:r>
      <w:r>
        <w:rPr>
          <w:rStyle w:val="FootnoteReference"/>
          <w:rFonts w:ascii="Times New Roman" w:hAnsi="Times New Roman" w:cs="Times New Roman"/>
          <w:lang w:val="en-US"/>
        </w:rPr>
        <w:footnoteReference w:id="85"/>
      </w:r>
      <w:r>
        <w:rPr>
          <w:rFonts w:ascii="Times New Roman" w:hAnsi="Times New Roman" w:cs="Times New Roman"/>
          <w:lang w:val="en-US"/>
        </w:rPr>
        <w:t xml:space="preserve">. Despite this, there is no requirement of knowledge, with the exception for </w:t>
      </w:r>
      <w:r>
        <w:rPr>
          <w:rFonts w:ascii="Times New Roman" w:hAnsi="Times New Roman" w:cs="Times New Roman"/>
          <w:lang w:val="en-US"/>
        </w:rPr>
        <w:lastRenderedPageBreak/>
        <w:t>education providers. This is likely to be due to the fact that there is a closer relationship between the provider and the disabled person and they will be expected to meet more specific needs</w:t>
      </w:r>
      <w:r>
        <w:rPr>
          <w:rStyle w:val="FootnoteReference"/>
          <w:rFonts w:ascii="Times New Roman" w:hAnsi="Times New Roman" w:cs="Times New Roman"/>
          <w:lang w:val="en-US"/>
        </w:rPr>
        <w:footnoteReference w:id="86"/>
      </w:r>
      <w:r>
        <w:rPr>
          <w:rFonts w:ascii="Times New Roman" w:hAnsi="Times New Roman" w:cs="Times New Roman"/>
          <w:lang w:val="en-US"/>
        </w:rPr>
        <w:t xml:space="preserve">. This is similar to the requirement of knowledge in the employment context </w:t>
      </w:r>
      <w:r w:rsidR="0066593C">
        <w:rPr>
          <w:rFonts w:ascii="Times New Roman" w:hAnsi="Times New Roman" w:cs="Times New Roman"/>
          <w:lang w:val="en-US"/>
        </w:rPr>
        <w:t xml:space="preserve">but education providers </w:t>
      </w:r>
      <w:r>
        <w:rPr>
          <w:rFonts w:ascii="Times New Roman" w:hAnsi="Times New Roman" w:cs="Times New Roman"/>
          <w:lang w:val="en-US"/>
        </w:rPr>
        <w:t>will also have to create an open, supportive and welcoming atmosphere that entices disabled persons and encourages disclosure of impairments.</w:t>
      </w:r>
    </w:p>
    <w:p w14:paraId="7CA71038" w14:textId="77777777" w:rsidR="0086465E" w:rsidRDefault="0086465E" w:rsidP="0086465E">
      <w:pPr>
        <w:spacing w:line="360" w:lineRule="auto"/>
        <w:jc w:val="both"/>
        <w:rPr>
          <w:rFonts w:ascii="Times New Roman" w:hAnsi="Times New Roman" w:cs="Times New Roman"/>
          <w:lang w:val="en-US"/>
        </w:rPr>
      </w:pPr>
    </w:p>
    <w:p w14:paraId="30264136" w14:textId="044FFCFD"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Reasonableness applies here and is as previously described. It is, however, important to consider that the purpose here is not to ensure some access for disabled persons but to provide the service as closely as the general public would enjoy it</w:t>
      </w:r>
      <w:r>
        <w:rPr>
          <w:rStyle w:val="FootnoteReference"/>
          <w:rFonts w:ascii="Times New Roman" w:hAnsi="Times New Roman" w:cs="Times New Roman"/>
          <w:lang w:val="en-US"/>
        </w:rPr>
        <w:footnoteReference w:id="87"/>
      </w:r>
      <w:r>
        <w:rPr>
          <w:rFonts w:ascii="Times New Roman" w:hAnsi="Times New Roman" w:cs="Times New Roman"/>
          <w:lang w:val="en-US"/>
        </w:rPr>
        <w:t>. It is not expected that steps be taken that fundamentally alter the nature of the service or A’s profession, trade or business</w:t>
      </w:r>
      <w:r>
        <w:rPr>
          <w:rStyle w:val="FootnoteReference"/>
          <w:rFonts w:ascii="Times New Roman" w:hAnsi="Times New Roman" w:cs="Times New Roman"/>
          <w:lang w:val="en-US"/>
        </w:rPr>
        <w:footnoteReference w:id="88"/>
      </w:r>
      <w:r>
        <w:rPr>
          <w:rFonts w:ascii="Times New Roman" w:hAnsi="Times New Roman" w:cs="Times New Roman"/>
          <w:lang w:val="en-US"/>
        </w:rPr>
        <w:t>. In relation to education, the code of practice for schools provides a list of factors</w:t>
      </w:r>
      <w:r>
        <w:rPr>
          <w:rStyle w:val="FootnoteReference"/>
          <w:rFonts w:ascii="Times New Roman" w:hAnsi="Times New Roman" w:cs="Times New Roman"/>
          <w:lang w:val="en-US"/>
        </w:rPr>
        <w:footnoteReference w:id="89"/>
      </w:r>
      <w:r>
        <w:rPr>
          <w:rFonts w:ascii="Times New Roman" w:hAnsi="Times New Roman" w:cs="Times New Roman"/>
          <w:lang w:val="en-US"/>
        </w:rPr>
        <w:t xml:space="preserve">. It include </w:t>
      </w:r>
      <w:r w:rsidRPr="003F3CB9">
        <w:rPr>
          <w:rFonts w:ascii="Times New Roman" w:hAnsi="Times New Roman" w:cs="Times New Roman"/>
          <w:lang w:val="en-US"/>
        </w:rPr>
        <w:t>the need to maintain academic, musical,</w:t>
      </w:r>
      <w:r>
        <w:rPr>
          <w:rFonts w:ascii="Times New Roman" w:hAnsi="Times New Roman" w:cs="Times New Roman"/>
          <w:lang w:val="en-US"/>
        </w:rPr>
        <w:t xml:space="preserve"> sporting and other standards; </w:t>
      </w:r>
      <w:r w:rsidRPr="003F3CB9">
        <w:rPr>
          <w:rFonts w:ascii="Times New Roman" w:hAnsi="Times New Roman" w:cs="Times New Roman"/>
          <w:lang w:val="en-US"/>
        </w:rPr>
        <w:t>the financial resources available to the</w:t>
      </w:r>
      <w:r>
        <w:rPr>
          <w:rFonts w:ascii="Times New Roman" w:hAnsi="Times New Roman" w:cs="Times New Roman"/>
          <w:lang w:val="en-US"/>
        </w:rPr>
        <w:t xml:space="preserve"> </w:t>
      </w:r>
      <w:r w:rsidRPr="003F3CB9">
        <w:rPr>
          <w:rFonts w:ascii="Times New Roman" w:hAnsi="Times New Roman" w:cs="Times New Roman"/>
          <w:lang w:val="en-US"/>
        </w:rPr>
        <w:t>responsible body;</w:t>
      </w:r>
      <w:r>
        <w:rPr>
          <w:rFonts w:ascii="Times New Roman" w:hAnsi="Times New Roman" w:cs="Times New Roman"/>
          <w:lang w:val="en-US"/>
        </w:rPr>
        <w:t xml:space="preserve"> t</w:t>
      </w:r>
      <w:r w:rsidRPr="003F3CB9">
        <w:rPr>
          <w:rFonts w:ascii="Times New Roman" w:hAnsi="Times New Roman" w:cs="Times New Roman"/>
          <w:lang w:val="en-US"/>
        </w:rPr>
        <w:t>he cost of taking a particular step; the extent to which it is practicable to take a</w:t>
      </w:r>
      <w:r>
        <w:rPr>
          <w:rFonts w:ascii="Times New Roman" w:hAnsi="Times New Roman" w:cs="Times New Roman"/>
          <w:lang w:val="en-US"/>
        </w:rPr>
        <w:t xml:space="preserve"> </w:t>
      </w:r>
      <w:r w:rsidRPr="003F3CB9">
        <w:rPr>
          <w:rFonts w:ascii="Times New Roman" w:hAnsi="Times New Roman" w:cs="Times New Roman"/>
          <w:lang w:val="en-US"/>
        </w:rPr>
        <w:t>particular step; the extent to which aids and services will be</w:t>
      </w:r>
      <w:r>
        <w:rPr>
          <w:rFonts w:ascii="Times New Roman" w:hAnsi="Times New Roman" w:cs="Times New Roman"/>
          <w:lang w:val="en-US"/>
        </w:rPr>
        <w:t xml:space="preserve"> </w:t>
      </w:r>
      <w:r w:rsidRPr="003F3CB9">
        <w:rPr>
          <w:rFonts w:ascii="Times New Roman" w:hAnsi="Times New Roman" w:cs="Times New Roman"/>
          <w:lang w:val="en-US"/>
        </w:rPr>
        <w:t>provided to disabled pupils at the school under</w:t>
      </w:r>
      <w:r>
        <w:rPr>
          <w:rFonts w:ascii="Times New Roman" w:hAnsi="Times New Roman" w:cs="Times New Roman"/>
          <w:lang w:val="en-US"/>
        </w:rPr>
        <w:t xml:space="preserve"> </w:t>
      </w:r>
      <w:r w:rsidRPr="003F3CB9">
        <w:rPr>
          <w:rFonts w:ascii="Times New Roman" w:hAnsi="Times New Roman" w:cs="Times New Roman"/>
          <w:lang w:val="en-US"/>
        </w:rPr>
        <w:t>Part IV of the Education Act 1996 or Sections</w:t>
      </w:r>
      <w:r>
        <w:rPr>
          <w:rFonts w:ascii="Times New Roman" w:hAnsi="Times New Roman" w:cs="Times New Roman"/>
          <w:lang w:val="en-US"/>
        </w:rPr>
        <w:t xml:space="preserve"> </w:t>
      </w:r>
      <w:r w:rsidRPr="003F3CB9">
        <w:rPr>
          <w:rFonts w:ascii="Times New Roman" w:hAnsi="Times New Roman" w:cs="Times New Roman"/>
          <w:lang w:val="en-US"/>
        </w:rPr>
        <w:t>60-65G of the Education (Scotland) Act 1980;</w:t>
      </w:r>
      <w:r>
        <w:rPr>
          <w:rFonts w:ascii="Times New Roman" w:hAnsi="Times New Roman" w:cs="Times New Roman"/>
          <w:lang w:val="en-US"/>
        </w:rPr>
        <w:t xml:space="preserve"> health and safety requirements;</w:t>
      </w:r>
      <w:r w:rsidRPr="003F3CB9">
        <w:rPr>
          <w:rFonts w:ascii="Times New Roman" w:hAnsi="Times New Roman" w:cs="Times New Roman"/>
          <w:lang w:val="en-US"/>
        </w:rPr>
        <w:t xml:space="preserve"> the interests of other pupils and persons who</w:t>
      </w:r>
      <w:r>
        <w:rPr>
          <w:rFonts w:ascii="Times New Roman" w:hAnsi="Times New Roman" w:cs="Times New Roman"/>
          <w:lang w:val="en-US"/>
        </w:rPr>
        <w:t xml:space="preserve"> </w:t>
      </w:r>
      <w:r w:rsidRPr="003F3CB9">
        <w:rPr>
          <w:rFonts w:ascii="Times New Roman" w:hAnsi="Times New Roman" w:cs="Times New Roman"/>
          <w:lang w:val="en-US"/>
        </w:rPr>
        <w:t>may be admitted to the school as pupils.</w:t>
      </w:r>
      <w:r>
        <w:rPr>
          <w:rFonts w:ascii="Times New Roman" w:hAnsi="Times New Roman" w:cs="Times New Roman"/>
          <w:lang w:val="en-US"/>
        </w:rPr>
        <w:t xml:space="preserve"> The code of practice for post-16 education omits the needs for maintenance of standards.</w:t>
      </w:r>
      <w:r w:rsidR="00774CE5">
        <w:rPr>
          <w:rFonts w:ascii="Times New Roman" w:hAnsi="Times New Roman" w:cs="Times New Roman"/>
          <w:lang w:val="en-US"/>
        </w:rPr>
        <w:t xml:space="preserve"> Associations, similarly, will not be required to take steps that alter the nature of the benefit, facility or service concerned or the nature of the association.</w:t>
      </w:r>
      <w:r w:rsidR="00774CE5">
        <w:rPr>
          <w:rStyle w:val="FootnoteReference"/>
          <w:rFonts w:ascii="Times New Roman" w:hAnsi="Times New Roman" w:cs="Times New Roman"/>
          <w:lang w:val="en-US"/>
        </w:rPr>
        <w:footnoteReference w:id="90"/>
      </w:r>
      <w:r w:rsidR="00774CE5">
        <w:rPr>
          <w:rFonts w:ascii="Times New Roman" w:hAnsi="Times New Roman" w:cs="Times New Roman"/>
          <w:lang w:val="en-US"/>
        </w:rPr>
        <w:t xml:space="preserve"> </w:t>
      </w:r>
      <w:r w:rsidR="004C3F5D">
        <w:rPr>
          <w:rFonts w:ascii="Times New Roman" w:hAnsi="Times New Roman" w:cs="Times New Roman"/>
          <w:lang w:val="en-US"/>
        </w:rPr>
        <w:t>Those exercising public functions will not be required to take steps that are outside their powers</w:t>
      </w:r>
      <w:r w:rsidR="004C3F5D">
        <w:rPr>
          <w:rStyle w:val="FootnoteReference"/>
          <w:rFonts w:ascii="Times New Roman" w:hAnsi="Times New Roman" w:cs="Times New Roman"/>
          <w:lang w:val="en-US"/>
        </w:rPr>
        <w:footnoteReference w:id="91"/>
      </w:r>
      <w:r w:rsidR="006D70C5">
        <w:rPr>
          <w:rFonts w:ascii="Times New Roman" w:hAnsi="Times New Roman" w:cs="Times New Roman"/>
          <w:lang w:val="en-US"/>
        </w:rPr>
        <w:t>.</w:t>
      </w:r>
    </w:p>
    <w:p w14:paraId="46A07AAD" w14:textId="77777777" w:rsidR="0086465E" w:rsidRDefault="0086465E" w:rsidP="0086465E">
      <w:pPr>
        <w:spacing w:line="360" w:lineRule="auto"/>
        <w:jc w:val="both"/>
        <w:rPr>
          <w:rFonts w:ascii="Times New Roman" w:hAnsi="Times New Roman" w:cs="Times New Roman"/>
          <w:lang w:val="en-US"/>
        </w:rPr>
      </w:pPr>
    </w:p>
    <w:p w14:paraId="158F1252" w14:textId="3578C1CD" w:rsidR="0086465E" w:rsidRDefault="0086465E" w:rsidP="0086465E">
      <w:pPr>
        <w:spacing w:line="360" w:lineRule="auto"/>
        <w:jc w:val="both"/>
        <w:rPr>
          <w:rFonts w:ascii="Times New Roman" w:hAnsi="Times New Roman" w:cs="Times New Roman"/>
          <w:lang w:val="en-US"/>
        </w:rPr>
      </w:pPr>
      <w:r>
        <w:rPr>
          <w:rFonts w:ascii="Times New Roman" w:hAnsi="Times New Roman" w:cs="Times New Roman"/>
          <w:lang w:val="en-US"/>
        </w:rPr>
        <w:t xml:space="preserve">When considering the reasonableness of physical alterations, education providers are in the same position as employers as described in the reactive duty above. Service </w:t>
      </w:r>
      <w:r>
        <w:rPr>
          <w:rFonts w:ascii="Times New Roman" w:hAnsi="Times New Roman" w:cs="Times New Roman"/>
          <w:lang w:val="en-US"/>
        </w:rPr>
        <w:lastRenderedPageBreak/>
        <w:t>providers are exempt from having to make physical alterations if those features comply with the regulations set out in the Disability Discrimination (Providers of Services) (Adjustment of Premises) Regulations 2001</w:t>
      </w:r>
      <w:r>
        <w:rPr>
          <w:rStyle w:val="FootnoteReference"/>
          <w:rFonts w:ascii="Times New Roman" w:hAnsi="Times New Roman" w:cs="Times New Roman"/>
          <w:lang w:val="en-US"/>
        </w:rPr>
        <w:footnoteReference w:id="92"/>
      </w:r>
      <w:r>
        <w:rPr>
          <w:rFonts w:ascii="Times New Roman" w:hAnsi="Times New Roman" w:cs="Times New Roman"/>
          <w:lang w:val="en-US"/>
        </w:rPr>
        <w:t xml:space="preserve"> and ten years have lapsed since the installation of the feature or completion of the work. This is due to the fact that the regulations set out the access requirements. They still, however, need to provide a reasonable means of avoiding the feature or provide the service in another way</w:t>
      </w:r>
      <w:r>
        <w:rPr>
          <w:rStyle w:val="FootnoteReference"/>
          <w:rFonts w:ascii="Times New Roman" w:hAnsi="Times New Roman" w:cs="Times New Roman"/>
          <w:lang w:val="en-US"/>
        </w:rPr>
        <w:footnoteReference w:id="93"/>
      </w:r>
      <w:r>
        <w:rPr>
          <w:rFonts w:ascii="Times New Roman" w:hAnsi="Times New Roman" w:cs="Times New Roman"/>
          <w:lang w:val="en-US"/>
        </w:rPr>
        <w:t>. In relation to third party consent, it is the same as the reactive duty described above.</w:t>
      </w:r>
      <w:r w:rsidR="004C3F5D">
        <w:rPr>
          <w:rFonts w:ascii="Times New Roman" w:hAnsi="Times New Roman" w:cs="Times New Roman"/>
          <w:lang w:val="en-US"/>
        </w:rPr>
        <w:t xml:space="preserve"> Reasonable adjustment to physical features will not be required of the homeowner where association meetings are held at a member’s home.</w:t>
      </w:r>
      <w:r w:rsidR="004C3F5D">
        <w:rPr>
          <w:rStyle w:val="FootnoteReference"/>
          <w:rFonts w:ascii="Times New Roman" w:hAnsi="Times New Roman" w:cs="Times New Roman"/>
          <w:lang w:val="en-US"/>
        </w:rPr>
        <w:footnoteReference w:id="94"/>
      </w:r>
    </w:p>
    <w:p w14:paraId="2CBE949B" w14:textId="77777777" w:rsidR="0086465E" w:rsidRDefault="0086465E" w:rsidP="0086465E">
      <w:pPr>
        <w:spacing w:line="360" w:lineRule="auto"/>
        <w:jc w:val="both"/>
        <w:rPr>
          <w:rFonts w:ascii="Times New Roman" w:hAnsi="Times New Roman" w:cs="Times New Roman"/>
          <w:lang w:val="en-US"/>
        </w:rPr>
      </w:pPr>
    </w:p>
    <w:p w14:paraId="2657B65B" w14:textId="0088D028" w:rsidR="0086465E" w:rsidRDefault="0086465E" w:rsidP="0086465E">
      <w:pPr>
        <w:tabs>
          <w:tab w:val="left" w:pos="567"/>
        </w:tabs>
        <w:spacing w:line="360" w:lineRule="auto"/>
        <w:jc w:val="both"/>
        <w:rPr>
          <w:rFonts w:ascii="Times New Roman" w:hAnsi="Times New Roman" w:cs="Times New Roman"/>
          <w:lang w:val="en-US"/>
        </w:rPr>
      </w:pPr>
      <w:r>
        <w:rPr>
          <w:rFonts w:ascii="Times New Roman" w:hAnsi="Times New Roman" w:cs="Times New Roman"/>
          <w:lang w:val="en-US"/>
        </w:rPr>
        <w:t xml:space="preserve">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of material and substantial justification applies to providers of post-16 education who have failed to take reasonable steps. ‘Material’ requires a ‘reasonably strong connection’ between the reasons for the failure to take reasonable steps and the facts of the particular case</w:t>
      </w:r>
      <w:r>
        <w:rPr>
          <w:rStyle w:val="FootnoteReference"/>
          <w:rFonts w:ascii="Times New Roman" w:hAnsi="Times New Roman" w:cs="Times New Roman"/>
          <w:lang w:val="en-US"/>
        </w:rPr>
        <w:footnoteReference w:id="95"/>
      </w:r>
      <w:r>
        <w:rPr>
          <w:rFonts w:ascii="Times New Roman" w:hAnsi="Times New Roman" w:cs="Times New Roman"/>
          <w:lang w:val="en-US"/>
        </w:rPr>
        <w:t>. T</w:t>
      </w:r>
      <w:r w:rsidR="0025547A">
        <w:rPr>
          <w:rFonts w:ascii="Times New Roman" w:hAnsi="Times New Roman" w:cs="Times New Roman"/>
          <w:lang w:val="en-US"/>
        </w:rPr>
        <w:t>he meaning of ‘s</w:t>
      </w:r>
      <w:r>
        <w:rPr>
          <w:rFonts w:ascii="Times New Roman" w:hAnsi="Times New Roman" w:cs="Times New Roman"/>
          <w:lang w:val="en-US"/>
        </w:rPr>
        <w:t>ubstantial’ remains ‘more than trivial or minor’</w:t>
      </w:r>
      <w:r>
        <w:rPr>
          <w:rStyle w:val="FootnoteReference"/>
          <w:rFonts w:ascii="Times New Roman" w:hAnsi="Times New Roman" w:cs="Times New Roman"/>
          <w:lang w:val="en-US"/>
        </w:rPr>
        <w:footnoteReference w:id="96"/>
      </w:r>
      <w:r>
        <w:rPr>
          <w:rFonts w:ascii="Times New Roman" w:hAnsi="Times New Roman" w:cs="Times New Roman"/>
          <w:lang w:val="en-US"/>
        </w:rPr>
        <w:t>. As it is such a low standard</w:t>
      </w:r>
      <w:r w:rsidRPr="00731879">
        <w:rPr>
          <w:rFonts w:ascii="Times New Roman" w:hAnsi="Times New Roman" w:cs="Times New Roman"/>
          <w:lang w:val="en-US"/>
        </w:rPr>
        <w:t>, the courts have diminished it</w:t>
      </w:r>
      <w:r w:rsidRPr="00731879">
        <w:rPr>
          <w:rStyle w:val="FootnoteReference"/>
          <w:rFonts w:ascii="Times New Roman" w:hAnsi="Times New Roman" w:cs="Times New Roman"/>
          <w:lang w:val="en-US"/>
        </w:rPr>
        <w:footnoteReference w:id="97"/>
      </w:r>
      <w:r w:rsidRPr="00731879">
        <w:rPr>
          <w:rFonts w:ascii="Times New Roman" w:hAnsi="Times New Roman" w:cs="Times New Roman"/>
          <w:lang w:val="en-US"/>
        </w:rPr>
        <w:t xml:space="preserve"> and so it is</w:t>
      </w:r>
      <w:r>
        <w:rPr>
          <w:rFonts w:ascii="Times New Roman" w:hAnsi="Times New Roman" w:cs="Times New Roman"/>
          <w:lang w:val="en-US"/>
        </w:rPr>
        <w:t xml:space="preserve"> unlikely to be used. There is a specific belief justification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 service providers, associations and public authorities. In order to satisfy it, they must show that they believed that one or more specified conditions were satisfied and it was reasonable for them to hold that opinion. Two of the specified conditions apply to service providers, </w:t>
      </w:r>
      <w:r>
        <w:rPr>
          <w:rFonts w:ascii="Times New Roman" w:hAnsi="Times New Roman" w:cs="Times New Roman"/>
          <w:vanish/>
          <w:lang w:val="en-US"/>
        </w:rPr>
        <w:cr/>
        <w:t>also to achieve and so is legit regulations set out the access requirements. with the , the duty will not be triggered.  a pres</w:t>
      </w:r>
      <w:r>
        <w:rPr>
          <w:rFonts w:ascii="Times New Roman" w:hAnsi="Times New Roman" w:cs="Times New Roman"/>
          <w:vanish/>
          <w:lang w:val="en-US"/>
        </w:rPr>
        <w:cr/>
        <w:t>also to achieve and so is legit regulations set out the access requirements. with the , the duty will not be triggered.  a pres</w:t>
      </w:r>
      <w:r>
        <w:rPr>
          <w:rFonts w:ascii="Times New Roman" w:hAnsi="Times New Roman" w:cs="Times New Roman"/>
          <w:lang w:val="en-US"/>
        </w:rPr>
        <w:t>public authorities and associations. They state that the alleged discriminator must have believed</w:t>
      </w:r>
      <w:r w:rsidR="000C320A">
        <w:rPr>
          <w:rFonts w:ascii="Times New Roman" w:hAnsi="Times New Roman" w:cs="Times New Roman"/>
          <w:lang w:val="en-US"/>
        </w:rPr>
        <w:t xml:space="preserve"> one of two things. E</w:t>
      </w:r>
      <w:r>
        <w:rPr>
          <w:rFonts w:ascii="Times New Roman" w:hAnsi="Times New Roman" w:cs="Times New Roman"/>
          <w:lang w:val="en-US"/>
        </w:rPr>
        <w:t>ither that refraining from taking the reasonable steps in order to protect the health or safety of all person</w:t>
      </w:r>
      <w:r w:rsidR="0025547A">
        <w:rPr>
          <w:rFonts w:ascii="Times New Roman" w:hAnsi="Times New Roman" w:cs="Times New Roman"/>
          <w:lang w:val="en-US"/>
        </w:rPr>
        <w:t>s</w:t>
      </w:r>
      <w:r>
        <w:rPr>
          <w:rFonts w:ascii="Times New Roman" w:hAnsi="Times New Roman" w:cs="Times New Roman"/>
          <w:lang w:val="en-US"/>
        </w:rPr>
        <w:t xml:space="preserve"> or failing to take reasonable steps because the disabled person is incapable of entering into and enforceable agreement, or of giving informed consent. One other specified condition applies to public authorities that fail to provide reasonable adjustments. It justifies the </w:t>
      </w:r>
      <w:r>
        <w:rPr>
          <w:rFonts w:ascii="Times New Roman" w:hAnsi="Times New Roman" w:cs="Times New Roman"/>
          <w:lang w:val="en-US"/>
        </w:rPr>
        <w:lastRenderedPageBreak/>
        <w:t xml:space="preserve">failure if the public authority can show that it reasonably believed the refusal to provide reasonable adjustments was necessary to protect the rights and freedoms of others. The first of two of its elements is a demonstration of the belief in the existence one or more specified conditions (subjective). The second is a demonstration that the belief was reasonably held. </w:t>
      </w:r>
    </w:p>
    <w:p w14:paraId="0DFB95CE" w14:textId="77777777" w:rsidR="0086465E" w:rsidRDefault="0086465E" w:rsidP="0086465E">
      <w:pPr>
        <w:tabs>
          <w:tab w:val="left" w:pos="567"/>
        </w:tabs>
        <w:spacing w:line="360" w:lineRule="auto"/>
        <w:jc w:val="both"/>
        <w:rPr>
          <w:rFonts w:ascii="Times New Roman" w:hAnsi="Times New Roman" w:cs="Times New Roman"/>
          <w:lang w:val="en-US"/>
        </w:rPr>
      </w:pPr>
    </w:p>
    <w:p w14:paraId="07AEC406" w14:textId="1BA64981" w:rsidR="0086465E" w:rsidRDefault="0086465E" w:rsidP="0086465E">
      <w:pPr>
        <w:tabs>
          <w:tab w:val="left" w:pos="567"/>
        </w:tabs>
        <w:spacing w:line="360" w:lineRule="auto"/>
        <w:jc w:val="both"/>
        <w:rPr>
          <w:rFonts w:ascii="Times New Roman" w:hAnsi="Times New Roman" w:cs="Times New Roman"/>
          <w:lang w:val="en-US"/>
        </w:rPr>
      </w:pPr>
      <w:r>
        <w:rPr>
          <w:rFonts w:ascii="Times New Roman" w:hAnsi="Times New Roman" w:cs="Times New Roman"/>
          <w:lang w:val="en-US"/>
        </w:rPr>
        <w:t>Public authorities have also</w:t>
      </w:r>
      <w:r>
        <w:rPr>
          <w:rFonts w:ascii="Times New Roman" w:hAnsi="Times New Roman" w:cs="Times New Roman"/>
          <w:vanish/>
          <w:lang w:val="en-US"/>
        </w:rPr>
        <w:cr/>
        <w:t>also to achieve and so is legit regulations set out the access requirements. with the , the duty will not be triggered.  a pres</w:t>
      </w:r>
      <w:r>
        <w:rPr>
          <w:rFonts w:ascii="Times New Roman" w:hAnsi="Times New Roman" w:cs="Times New Roman"/>
          <w:lang w:val="en-US"/>
        </w:rPr>
        <w:t xml:space="preserve"> the objective justification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to rely on where showing that it was a proportionate means of meeting legitimate aim will justify failing to provide reasonable adjustments. In order to rely on it, it must be demonstrated that there is a pressing policy need supporting the aim that the treatment is designed to achieve and so is legitimate, the authority action is related to achieving that aim and a solution with less detrimental impact on the rights of disabled people could not be found.</w:t>
      </w:r>
    </w:p>
    <w:p w14:paraId="3929A9F5" w14:textId="77777777" w:rsidR="00E41DAC" w:rsidRPr="00E41DAC" w:rsidRDefault="00E41DAC" w:rsidP="00E41DAC">
      <w:pPr>
        <w:tabs>
          <w:tab w:val="left" w:pos="567"/>
        </w:tabs>
        <w:spacing w:line="360" w:lineRule="auto"/>
        <w:jc w:val="both"/>
        <w:rPr>
          <w:rFonts w:ascii="Times New Roman" w:hAnsi="Times New Roman" w:cs="Times New Roman"/>
          <w:lang w:val="en-US"/>
        </w:rPr>
      </w:pPr>
    </w:p>
    <w:p w14:paraId="65BB3C8F" w14:textId="35457474" w:rsidR="00A772FA" w:rsidRPr="00A772FA" w:rsidRDefault="00E41DAC" w:rsidP="00A772FA">
      <w:pPr>
        <w:tabs>
          <w:tab w:val="left" w:pos="567"/>
        </w:tabs>
        <w:spacing w:line="360" w:lineRule="auto"/>
        <w:jc w:val="both"/>
        <w:rPr>
          <w:rFonts w:ascii="Times New Roman" w:hAnsi="Times New Roman" w:cs="Times New Roman"/>
          <w:lang w:val="en-US"/>
        </w:rPr>
      </w:pPr>
      <w:r w:rsidRPr="00E41DAC">
        <w:rPr>
          <w:rFonts w:ascii="Times New Roman" w:hAnsi="Times New Roman" w:cs="Times New Roman"/>
          <w:lang w:val="en-US"/>
        </w:rPr>
        <w:t xml:space="preserve">If all the requirements can be met and a </w:t>
      </w:r>
      <w:proofErr w:type="spellStart"/>
      <w:r w:rsidRPr="00E41DAC">
        <w:rPr>
          <w:rFonts w:ascii="Times New Roman" w:hAnsi="Times New Roman" w:cs="Times New Roman"/>
          <w:lang w:val="en-US"/>
        </w:rPr>
        <w:t>defence</w:t>
      </w:r>
      <w:proofErr w:type="spellEnd"/>
      <w:r w:rsidRPr="00E41DAC">
        <w:rPr>
          <w:rFonts w:ascii="Times New Roman" w:hAnsi="Times New Roman" w:cs="Times New Roman"/>
          <w:lang w:val="en-US"/>
        </w:rPr>
        <w:t xml:space="preserve"> cannot be used, the failure to make reasonable adjust</w:t>
      </w:r>
      <w:r>
        <w:rPr>
          <w:rFonts w:ascii="Times New Roman" w:hAnsi="Times New Roman" w:cs="Times New Roman"/>
          <w:lang w:val="en-US"/>
        </w:rPr>
        <w:t>ment is unlawful discrimination</w:t>
      </w:r>
      <w:r w:rsidR="005E7CD9">
        <w:rPr>
          <w:rStyle w:val="FootnoteReference"/>
          <w:rFonts w:ascii="Times New Roman" w:hAnsi="Times New Roman" w:cs="Times New Roman"/>
          <w:lang w:val="en-US"/>
        </w:rPr>
        <w:footnoteReference w:id="98"/>
      </w:r>
      <w:r>
        <w:rPr>
          <w:rFonts w:ascii="Times New Roman" w:hAnsi="Times New Roman" w:cs="Times New Roman"/>
          <w:lang w:val="en-US"/>
        </w:rPr>
        <w:t>.</w:t>
      </w:r>
      <w:r w:rsidR="00A772FA">
        <w:rPr>
          <w:rFonts w:ascii="Times New Roman" w:hAnsi="Times New Roman" w:cs="Times New Roman"/>
          <w:lang w:val="en-US"/>
        </w:rPr>
        <w:t xml:space="preserve"> The anticipatory duty does force duty-bearers to think about broad needs of disabled people in advance of the presence of a disabled individual. It, however, does not meet the particular needs of one disabled person. Criticisms aside, the duty to provide reasonable adjustment does force duty-bearers to consider the needs of disabled people, breaking down many barriers in society.</w:t>
      </w:r>
    </w:p>
    <w:sectPr w:rsidR="00A772FA" w:rsidRPr="00A772FA" w:rsidSect="0027519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EBBD5" w14:textId="77777777" w:rsidR="009B0C34" w:rsidRDefault="009B0C34" w:rsidP="00280AB5">
      <w:r>
        <w:separator/>
      </w:r>
    </w:p>
  </w:endnote>
  <w:endnote w:type="continuationSeparator" w:id="0">
    <w:p w14:paraId="094CF559" w14:textId="77777777" w:rsidR="009B0C34" w:rsidRDefault="009B0C34" w:rsidP="002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4FE8" w14:textId="77777777" w:rsidR="008E7D58" w:rsidRDefault="008E7D58" w:rsidP="009C4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03343" w14:textId="77777777" w:rsidR="008E7D58" w:rsidRDefault="008E7D58" w:rsidP="00926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39B0" w14:textId="7A4C7F80" w:rsidR="008E7D58" w:rsidRDefault="008E7D58" w:rsidP="009C4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2FA">
      <w:rPr>
        <w:rStyle w:val="PageNumber"/>
        <w:noProof/>
      </w:rPr>
      <w:t>1</w:t>
    </w:r>
    <w:r>
      <w:rPr>
        <w:rStyle w:val="PageNumber"/>
      </w:rPr>
      <w:fldChar w:fldCharType="end"/>
    </w:r>
    <w:r>
      <w:rPr>
        <w:rStyle w:val="PageNumber"/>
      </w:rPr>
      <w:t xml:space="preserve"> of 13</w:t>
    </w:r>
  </w:p>
  <w:p w14:paraId="5D4019CA" w14:textId="77777777" w:rsidR="008E7D58" w:rsidRDefault="008E7D58" w:rsidP="00926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5FA5" w14:textId="77777777" w:rsidR="009B0C34" w:rsidRDefault="009B0C34" w:rsidP="00280AB5">
      <w:r>
        <w:separator/>
      </w:r>
    </w:p>
  </w:footnote>
  <w:footnote w:type="continuationSeparator" w:id="0">
    <w:p w14:paraId="549120A3" w14:textId="77777777" w:rsidR="009B0C34" w:rsidRDefault="009B0C34" w:rsidP="00280AB5">
      <w:r>
        <w:continuationSeparator/>
      </w:r>
    </w:p>
  </w:footnote>
  <w:footnote w:id="1">
    <w:p w14:paraId="56A2D8E5" w14:textId="6AA781FD" w:rsidR="008E7D58" w:rsidRPr="00935287" w:rsidRDefault="008E7D58" w:rsidP="0086465E">
      <w:pPr>
        <w:pStyle w:val="FootnoteText"/>
        <w:rPr>
          <w:lang w:val="en-US"/>
        </w:rPr>
      </w:pPr>
      <w:r>
        <w:rPr>
          <w:rStyle w:val="FootnoteReference"/>
        </w:rPr>
        <w:footnoteRef/>
      </w:r>
      <w:r>
        <w:t xml:space="preserve"> </w:t>
      </w:r>
      <w:r>
        <w:rPr>
          <w:lang w:val="en-US"/>
        </w:rPr>
        <w:t xml:space="preserve">Fletcher, A and O’Brien, N (2008), </w:t>
      </w:r>
      <w:r w:rsidRPr="005657AF">
        <w:rPr>
          <w:i/>
          <w:lang w:val="en-US"/>
        </w:rPr>
        <w:t>Disability Rights Commission: Fro</w:t>
      </w:r>
      <w:r>
        <w:rPr>
          <w:i/>
          <w:lang w:val="en-US"/>
        </w:rPr>
        <w:t>m Civil Rights to Social Rights,</w:t>
      </w:r>
      <w:r w:rsidRPr="005657AF">
        <w:rPr>
          <w:i/>
          <w:lang w:val="en-US"/>
        </w:rPr>
        <w:t xml:space="preserve"> </w:t>
      </w:r>
      <w:r>
        <w:rPr>
          <w:lang w:val="en-US"/>
        </w:rPr>
        <w:t>Journal of Law a</w:t>
      </w:r>
      <w:r w:rsidRPr="00935287">
        <w:rPr>
          <w:lang w:val="en-US"/>
        </w:rPr>
        <w:t>nd Society Volume 35, Number 4, December 2008</w:t>
      </w:r>
      <w:r>
        <w:rPr>
          <w:lang w:val="en-US"/>
        </w:rPr>
        <w:t xml:space="preserve"> pp520-550;</w:t>
      </w:r>
    </w:p>
  </w:footnote>
  <w:footnote w:id="2">
    <w:p w14:paraId="4067A44E" w14:textId="50ECA2CF" w:rsidR="008E7D58" w:rsidRPr="00720AD7" w:rsidRDefault="008E7D58" w:rsidP="0086465E">
      <w:pPr>
        <w:pStyle w:val="FootnoteText"/>
        <w:rPr>
          <w:lang w:val="en-US"/>
        </w:rPr>
      </w:pPr>
      <w:r>
        <w:rPr>
          <w:rStyle w:val="FootnoteReference"/>
        </w:rPr>
        <w:footnoteRef/>
      </w:r>
      <w:r>
        <w:t xml:space="preserve"> </w:t>
      </w:r>
      <w:r w:rsidRPr="00BD3B8F">
        <w:t>UPIAS, Fundamental Principles of Disability (1976) 3</w:t>
      </w:r>
      <w:r>
        <w:rPr>
          <w:lang w:val="en-US"/>
        </w:rPr>
        <w:t xml:space="preserve">. For a fuller account of the social model and criticisms of it, see Fletcher and O’Brien and </w:t>
      </w:r>
      <w:r w:rsidRPr="0086624F">
        <w:rPr>
          <w:lang w:val="en-US"/>
        </w:rPr>
        <w:t>T.</w:t>
      </w:r>
      <w:r>
        <w:rPr>
          <w:lang w:val="en-US"/>
        </w:rPr>
        <w:t xml:space="preserve"> </w:t>
      </w:r>
      <w:r w:rsidRPr="0086624F">
        <w:rPr>
          <w:lang w:val="en-US"/>
        </w:rPr>
        <w:t>Shakespeare, (2006</w:t>
      </w:r>
      <w:r>
        <w:rPr>
          <w:lang w:val="en-US"/>
        </w:rPr>
        <w:t xml:space="preserve">), </w:t>
      </w:r>
      <w:r w:rsidRPr="00720AD7">
        <w:rPr>
          <w:i/>
          <w:lang w:val="en-US"/>
        </w:rPr>
        <w:t>Disability Rights and Wrongs</w:t>
      </w:r>
      <w:r>
        <w:rPr>
          <w:lang w:val="en-US"/>
        </w:rPr>
        <w:t xml:space="preserve">, </w:t>
      </w:r>
      <w:r w:rsidRPr="00720AD7">
        <w:rPr>
          <w:rFonts w:ascii="Times New Roman" w:hAnsi="Times New Roman" w:cs="Times New Roman"/>
          <w:lang w:val="en-US"/>
        </w:rPr>
        <w:t>Routledge</w:t>
      </w:r>
      <w:r>
        <w:rPr>
          <w:rFonts w:ascii="Times New Roman" w:hAnsi="Times New Roman" w:cs="Times New Roman"/>
          <w:lang w:val="en-US"/>
        </w:rPr>
        <w:t>;</w:t>
      </w:r>
    </w:p>
  </w:footnote>
  <w:footnote w:id="3">
    <w:p w14:paraId="63171961" w14:textId="1835A98A" w:rsidR="008E7D58" w:rsidRPr="00456AAA" w:rsidRDefault="008E7D58" w:rsidP="0086465E">
      <w:pPr>
        <w:pStyle w:val="FootnoteText"/>
        <w:rPr>
          <w:lang w:val="en-US"/>
        </w:rPr>
      </w:pPr>
      <w:r>
        <w:rPr>
          <w:rStyle w:val="FootnoteReference"/>
        </w:rPr>
        <w:footnoteRef/>
      </w:r>
      <w:r>
        <w:t xml:space="preserve"> </w:t>
      </w:r>
      <w:proofErr w:type="spellStart"/>
      <w:r>
        <w:rPr>
          <w:lang w:val="en-US"/>
        </w:rPr>
        <w:t>Fredman</w:t>
      </w:r>
      <w:proofErr w:type="spellEnd"/>
      <w:r>
        <w:rPr>
          <w:lang w:val="en-US"/>
        </w:rPr>
        <w:t xml:space="preserve">, S (2011), </w:t>
      </w:r>
      <w:r w:rsidRPr="00A40CA3">
        <w:rPr>
          <w:i/>
          <w:lang w:val="en-US"/>
        </w:rPr>
        <w:t>Discrimination Law</w:t>
      </w:r>
      <w:r>
        <w:rPr>
          <w:lang w:val="en-US"/>
        </w:rPr>
        <w:t>, Oxford University Press.</w:t>
      </w:r>
    </w:p>
  </w:footnote>
  <w:footnote w:id="4">
    <w:p w14:paraId="08357E4D" w14:textId="5DB5E075" w:rsidR="008E7D58" w:rsidRPr="002E3484" w:rsidRDefault="008E7D58" w:rsidP="0086465E">
      <w:pPr>
        <w:pStyle w:val="FootnoteText"/>
        <w:rPr>
          <w:lang w:val="en-US"/>
        </w:rPr>
      </w:pPr>
      <w:r>
        <w:rPr>
          <w:rStyle w:val="FootnoteReference"/>
        </w:rPr>
        <w:footnoteRef/>
      </w:r>
      <w:r>
        <w:t xml:space="preserve"> </w:t>
      </w:r>
      <w:r>
        <w:rPr>
          <w:lang w:val="en-US"/>
        </w:rPr>
        <w:t>Archibald v Fife Council [</w:t>
      </w:r>
      <w:r w:rsidRPr="002E3484">
        <w:rPr>
          <w:lang w:val="en-US"/>
        </w:rPr>
        <w:t>2004</w:t>
      </w:r>
      <w:r>
        <w:rPr>
          <w:lang w:val="en-US"/>
        </w:rPr>
        <w:t>]</w:t>
      </w:r>
      <w:r w:rsidRPr="002E3484">
        <w:rPr>
          <w:lang w:val="en-US"/>
        </w:rPr>
        <w:t xml:space="preserve"> S.C. (H.L.) 117</w:t>
      </w:r>
      <w:r>
        <w:rPr>
          <w:lang w:val="en-US"/>
        </w:rPr>
        <w:t xml:space="preserve"> at 47;</w:t>
      </w:r>
    </w:p>
  </w:footnote>
  <w:footnote w:id="5">
    <w:p w14:paraId="073AFE35" w14:textId="2D263155" w:rsidR="008E7D58" w:rsidRPr="006C3695" w:rsidRDefault="008E7D58" w:rsidP="0086465E">
      <w:pPr>
        <w:pStyle w:val="FootnoteText"/>
        <w:rPr>
          <w:lang w:val="en-US"/>
        </w:rPr>
      </w:pPr>
      <w:r>
        <w:rPr>
          <w:rStyle w:val="FootnoteReference"/>
        </w:rPr>
        <w:footnoteRef/>
      </w:r>
      <w:r>
        <w:t xml:space="preserve"> </w:t>
      </w:r>
      <w:proofErr w:type="spellStart"/>
      <w:r w:rsidRPr="00F242F7">
        <w:rPr>
          <w:bCs/>
        </w:rPr>
        <w:t>Hepple</w:t>
      </w:r>
      <w:proofErr w:type="spellEnd"/>
      <w:r w:rsidRPr="00F242F7">
        <w:rPr>
          <w:bCs/>
        </w:rPr>
        <w:t>, B (2011) Equality: the new legal framework, Oxford: Hart Publishing.</w:t>
      </w:r>
    </w:p>
  </w:footnote>
  <w:footnote w:id="6">
    <w:p w14:paraId="7D36ED80" w14:textId="57B3C4CC" w:rsidR="008E7D58" w:rsidRPr="006C3695" w:rsidRDefault="008E7D58" w:rsidP="0086465E">
      <w:pPr>
        <w:pStyle w:val="FootnoteText"/>
        <w:rPr>
          <w:lang w:val="en-US"/>
        </w:rPr>
      </w:pPr>
      <w:r>
        <w:rPr>
          <w:rStyle w:val="FootnoteReference"/>
        </w:rPr>
        <w:footnoteRef/>
      </w:r>
      <w:r>
        <w:t xml:space="preserve"> Lawson, A (2011), </w:t>
      </w:r>
      <w:r w:rsidRPr="00A40CA3">
        <w:rPr>
          <w:i/>
        </w:rPr>
        <w:t>Disability and employment in the Equality Act 2010: opportunities seized, lost and generated</w:t>
      </w:r>
      <w:r w:rsidRPr="00A40CA3">
        <w:t>, Industrial Law Journal 40 (4): 359-383.</w:t>
      </w:r>
    </w:p>
  </w:footnote>
  <w:footnote w:id="7">
    <w:p w14:paraId="3F4234D2" w14:textId="230E850F" w:rsidR="008E7D58" w:rsidRPr="00284798" w:rsidRDefault="008E7D58" w:rsidP="0086465E">
      <w:pPr>
        <w:pStyle w:val="FootnoteText"/>
        <w:rPr>
          <w:lang w:val="en-US"/>
        </w:rPr>
      </w:pPr>
      <w:r>
        <w:rPr>
          <w:rStyle w:val="FootnoteReference"/>
        </w:rPr>
        <w:footnoteRef/>
      </w:r>
      <w:r>
        <w:t xml:space="preserve"> </w:t>
      </w:r>
      <w:r>
        <w:rPr>
          <w:lang w:val="en-US"/>
        </w:rPr>
        <w:t>S6 Disability Discrimination Act 1995;</w:t>
      </w:r>
    </w:p>
  </w:footnote>
  <w:footnote w:id="8">
    <w:p w14:paraId="69F136BA" w14:textId="2570D3BA" w:rsidR="008E7D58" w:rsidRPr="00284798" w:rsidRDefault="008E7D58" w:rsidP="0086465E">
      <w:pPr>
        <w:pStyle w:val="FootnoteText"/>
        <w:rPr>
          <w:lang w:val="en-US"/>
        </w:rPr>
      </w:pPr>
      <w:r>
        <w:rPr>
          <w:rStyle w:val="FootnoteReference"/>
        </w:rPr>
        <w:footnoteRef/>
      </w:r>
      <w:r>
        <w:t xml:space="preserve"> S83(1) Equality Act 2010;</w:t>
      </w:r>
    </w:p>
  </w:footnote>
  <w:footnote w:id="9">
    <w:p w14:paraId="65CD60A0" w14:textId="74775DA2" w:rsidR="008E7D58" w:rsidRPr="00CE7B68" w:rsidRDefault="008E7D58" w:rsidP="0086465E">
      <w:pPr>
        <w:pStyle w:val="FootnoteText"/>
        <w:rPr>
          <w:lang w:val="en-US"/>
        </w:rPr>
      </w:pPr>
      <w:r>
        <w:rPr>
          <w:rStyle w:val="FootnoteReference"/>
        </w:rPr>
        <w:footnoteRef/>
      </w:r>
      <w:r>
        <w:t xml:space="preserve"> </w:t>
      </w:r>
      <w:r>
        <w:rPr>
          <w:lang w:val="en-US"/>
        </w:rPr>
        <w:t>S31(1) Equality Act 2010;</w:t>
      </w:r>
    </w:p>
  </w:footnote>
  <w:footnote w:id="10">
    <w:p w14:paraId="1300B8EA" w14:textId="2250129B" w:rsidR="008E7D58" w:rsidRPr="00CE7B68" w:rsidRDefault="008E7D58" w:rsidP="0086465E">
      <w:pPr>
        <w:pStyle w:val="FootnoteText"/>
        <w:rPr>
          <w:lang w:val="en-US"/>
        </w:rPr>
      </w:pPr>
      <w:r>
        <w:rPr>
          <w:rStyle w:val="FootnoteReference"/>
        </w:rPr>
        <w:footnoteRef/>
      </w:r>
      <w:r>
        <w:t xml:space="preserve"> </w:t>
      </w:r>
      <w:r>
        <w:rPr>
          <w:lang w:val="en-US"/>
        </w:rPr>
        <w:t>S38(1) Equality Act 2010;</w:t>
      </w:r>
    </w:p>
  </w:footnote>
  <w:footnote w:id="11">
    <w:p w14:paraId="1DC293DF" w14:textId="74E6766F" w:rsidR="008E7D58" w:rsidRPr="00CE7B68" w:rsidRDefault="008E7D58" w:rsidP="0086465E">
      <w:pPr>
        <w:pStyle w:val="FootnoteText"/>
      </w:pPr>
      <w:r>
        <w:rPr>
          <w:rStyle w:val="FootnoteReference"/>
        </w:rPr>
        <w:footnoteRef/>
      </w:r>
      <w:r>
        <w:t xml:space="preserve"> S89(1) Equality Act 2010;</w:t>
      </w:r>
    </w:p>
  </w:footnote>
  <w:footnote w:id="12">
    <w:p w14:paraId="4CAF8197" w14:textId="485A6E05" w:rsidR="008E7D58" w:rsidRPr="00CE7B68" w:rsidRDefault="008E7D58" w:rsidP="0086465E">
      <w:pPr>
        <w:pStyle w:val="FootnoteText"/>
        <w:rPr>
          <w:lang w:val="en-US"/>
        </w:rPr>
      </w:pPr>
      <w:r>
        <w:rPr>
          <w:rStyle w:val="FootnoteReference"/>
        </w:rPr>
        <w:footnoteRef/>
      </w:r>
      <w:r>
        <w:t xml:space="preserve"> </w:t>
      </w:r>
      <w:r>
        <w:rPr>
          <w:lang w:val="en-US"/>
        </w:rPr>
        <w:t>S107(1) Equality Act 2010;</w:t>
      </w:r>
    </w:p>
  </w:footnote>
  <w:footnote w:id="13">
    <w:p w14:paraId="040B64D0" w14:textId="503B8CA8" w:rsidR="008E7D58" w:rsidRPr="00847D45" w:rsidRDefault="008E7D58" w:rsidP="0086465E">
      <w:pPr>
        <w:pStyle w:val="FootnoteText"/>
        <w:rPr>
          <w:lang w:val="en-US"/>
        </w:rPr>
      </w:pPr>
      <w:r>
        <w:rPr>
          <w:rStyle w:val="FootnoteReference"/>
        </w:rPr>
        <w:footnoteRef/>
      </w:r>
      <w:r>
        <w:t xml:space="preserve"> </w:t>
      </w:r>
      <w:r w:rsidRPr="00C914FE">
        <w:rPr>
          <w:i/>
          <w:lang w:val="en-US"/>
        </w:rPr>
        <w:t>Lawson, A. (2008). Disability and Equality Law in Britain: The Role of Reasonable Adjustments. Oxford: Hart Publishing</w:t>
      </w:r>
      <w:r>
        <w:rPr>
          <w:lang w:val="en-US"/>
        </w:rPr>
        <w:t>, p2;</w:t>
      </w:r>
    </w:p>
  </w:footnote>
  <w:footnote w:id="14">
    <w:p w14:paraId="442722B4" w14:textId="179F8819" w:rsidR="008E7D58" w:rsidRPr="00FE1BDC" w:rsidRDefault="008E7D58" w:rsidP="0086465E">
      <w:pPr>
        <w:pStyle w:val="FootnoteText"/>
        <w:rPr>
          <w:lang w:val="en-US"/>
        </w:rPr>
      </w:pPr>
      <w:r>
        <w:rPr>
          <w:rStyle w:val="FootnoteReference"/>
        </w:rPr>
        <w:footnoteRef/>
      </w:r>
      <w:r>
        <w:t xml:space="preserve"> </w:t>
      </w:r>
      <w:r>
        <w:rPr>
          <w:lang w:val="en-US"/>
        </w:rPr>
        <w:t xml:space="preserve">L. Waddington, </w:t>
      </w:r>
      <w:r w:rsidRPr="00F242F7">
        <w:rPr>
          <w:i/>
          <w:lang w:val="en-US"/>
        </w:rPr>
        <w:t xml:space="preserve">Reasonable </w:t>
      </w:r>
      <w:proofErr w:type="spellStart"/>
      <w:r w:rsidRPr="00F242F7">
        <w:rPr>
          <w:i/>
          <w:lang w:val="en-US"/>
        </w:rPr>
        <w:t>Accomodation</w:t>
      </w:r>
      <w:proofErr w:type="spellEnd"/>
      <w:r>
        <w:rPr>
          <w:lang w:val="en-US"/>
        </w:rPr>
        <w:t xml:space="preserve"> in D. </w:t>
      </w:r>
      <w:proofErr w:type="spellStart"/>
      <w:r>
        <w:rPr>
          <w:lang w:val="en-US"/>
        </w:rPr>
        <w:t>Schiek</w:t>
      </w:r>
      <w:proofErr w:type="spellEnd"/>
      <w:r>
        <w:rPr>
          <w:lang w:val="en-US"/>
        </w:rPr>
        <w:t>, L. Waddington and M. Bell (</w:t>
      </w:r>
      <w:proofErr w:type="spellStart"/>
      <w:r>
        <w:rPr>
          <w:lang w:val="en-US"/>
        </w:rPr>
        <w:t>eds</w:t>
      </w:r>
      <w:proofErr w:type="spellEnd"/>
      <w:r>
        <w:rPr>
          <w:lang w:val="en-US"/>
        </w:rPr>
        <w:t>), Cases, Materials and Texts on National, Supranational and International Non-Discrimination Law (Oxford, Hart Publishing, 2007) 631.</w:t>
      </w:r>
    </w:p>
  </w:footnote>
  <w:footnote w:id="15">
    <w:p w14:paraId="2C6B3480" w14:textId="18B2A463" w:rsidR="008E7D58" w:rsidRPr="001D2CDB" w:rsidRDefault="008E7D58" w:rsidP="0086465E">
      <w:pPr>
        <w:pStyle w:val="FootnoteText"/>
        <w:rPr>
          <w:lang w:val="en-US"/>
        </w:rPr>
      </w:pPr>
      <w:r>
        <w:rPr>
          <w:rStyle w:val="FootnoteReference"/>
        </w:rPr>
        <w:footnoteRef/>
      </w:r>
      <w:r>
        <w:t xml:space="preserve"> </w:t>
      </w:r>
      <w:r w:rsidRPr="00C914FE">
        <w:rPr>
          <w:lang w:val="en-US"/>
        </w:rPr>
        <w:t xml:space="preserve">Lawson, A. (2008). </w:t>
      </w:r>
      <w:r w:rsidRPr="00593176">
        <w:rPr>
          <w:i/>
          <w:lang w:val="en-US"/>
        </w:rPr>
        <w:t>Disability and Equality Law in Britain: The Role of Reasonable Adjustments. Oxford: Hart Publishing</w:t>
      </w:r>
      <w:r>
        <w:rPr>
          <w:lang w:val="en-US"/>
        </w:rPr>
        <w:t>, p3</w:t>
      </w:r>
    </w:p>
  </w:footnote>
  <w:footnote w:id="16">
    <w:p w14:paraId="27C9D590" w14:textId="77777777" w:rsidR="008E7D58" w:rsidRPr="002A726D" w:rsidRDefault="008E7D58" w:rsidP="0086465E">
      <w:pPr>
        <w:pStyle w:val="FootnoteText"/>
        <w:rPr>
          <w:lang w:val="en-US"/>
        </w:rPr>
      </w:pPr>
      <w:r>
        <w:rPr>
          <w:rStyle w:val="FootnoteReference"/>
        </w:rPr>
        <w:footnoteRef/>
      </w:r>
      <w:r>
        <w:t xml:space="preserve"> </w:t>
      </w:r>
      <w:r>
        <w:rPr>
          <w:lang w:val="en-US"/>
        </w:rPr>
        <w:t>Directive 2000/78/EC;</w:t>
      </w:r>
    </w:p>
  </w:footnote>
  <w:footnote w:id="17">
    <w:p w14:paraId="0512BE99" w14:textId="60C2FD81" w:rsidR="008E7D58" w:rsidRPr="005E00C4" w:rsidRDefault="008E7D58" w:rsidP="0086465E">
      <w:pPr>
        <w:pStyle w:val="FootnoteText"/>
        <w:rPr>
          <w:lang w:val="en-US"/>
        </w:rPr>
      </w:pPr>
      <w:r>
        <w:rPr>
          <w:rStyle w:val="FootnoteReference"/>
        </w:rPr>
        <w:footnoteRef/>
      </w:r>
      <w:r>
        <w:t xml:space="preserve"> Council of Europe</w:t>
      </w:r>
      <w:r w:rsidRPr="00A40CA3">
        <w:t xml:space="preserve"> </w:t>
      </w:r>
      <w:r>
        <w:t xml:space="preserve">(1950), </w:t>
      </w:r>
      <w:r w:rsidRPr="00A40CA3">
        <w:rPr>
          <w:i/>
        </w:rPr>
        <w:t>Convention for the Protection of Human Rights and Fundamental Freedoms</w:t>
      </w:r>
      <w:r w:rsidRPr="005E00C4">
        <w:t xml:space="preserve"> (European Convention on Human </w:t>
      </w:r>
      <w:r>
        <w:t xml:space="preserve">Rights, as amended) </w:t>
      </w:r>
    </w:p>
  </w:footnote>
  <w:footnote w:id="18">
    <w:p w14:paraId="52D893A8" w14:textId="46C959D8" w:rsidR="008E7D58" w:rsidRPr="00593176" w:rsidRDefault="008E7D58" w:rsidP="00593176">
      <w:pPr>
        <w:widowControl w:val="0"/>
        <w:autoSpaceDE w:val="0"/>
        <w:autoSpaceDN w:val="0"/>
        <w:adjustRightInd w:val="0"/>
        <w:rPr>
          <w:rFonts w:ascii="Helvetica Neue" w:hAnsi="Helvetica Neue" w:cs="Helvetica Neue"/>
          <w:color w:val="303030"/>
          <w:sz w:val="26"/>
          <w:szCs w:val="26"/>
          <w:lang w:val="en-US"/>
        </w:rPr>
      </w:pPr>
      <w:r>
        <w:rPr>
          <w:rStyle w:val="FootnoteReference"/>
        </w:rPr>
        <w:footnoteRef/>
      </w:r>
      <w:r>
        <w:t xml:space="preserve"> </w:t>
      </w:r>
      <w:r w:rsidRPr="003E1714">
        <w:rPr>
          <w:rFonts w:cs="Helvetica Neue"/>
          <w:color w:val="303030"/>
          <w:lang w:val="en-US"/>
        </w:rPr>
        <w:t xml:space="preserve">Council of Europe, </w:t>
      </w:r>
      <w:r w:rsidRPr="003E1714">
        <w:rPr>
          <w:rFonts w:cs="Helvetica Neue"/>
          <w:i/>
          <w:iCs/>
          <w:color w:val="303030"/>
          <w:lang w:val="en-US"/>
        </w:rPr>
        <w:t>European Social Charter (Revised)</w:t>
      </w:r>
      <w:r w:rsidRPr="003E1714">
        <w:rPr>
          <w:rFonts w:cs="Helvetica Neue"/>
          <w:color w:val="303030"/>
          <w:lang w:val="en-US"/>
        </w:rPr>
        <w:t>, 3 May 1996, ETS 163</w:t>
      </w:r>
    </w:p>
  </w:footnote>
  <w:footnote w:id="19">
    <w:p w14:paraId="59A5828D" w14:textId="77777777" w:rsidR="008E7D58" w:rsidRPr="00FA6E4D" w:rsidRDefault="008E7D58" w:rsidP="0086465E">
      <w:pPr>
        <w:pStyle w:val="FootnoteText"/>
        <w:rPr>
          <w:lang w:val="en-US"/>
        </w:rPr>
      </w:pPr>
      <w:r>
        <w:rPr>
          <w:rStyle w:val="FootnoteReference"/>
        </w:rPr>
        <w:footnoteRef/>
      </w:r>
      <w:r>
        <w:t xml:space="preserve"> </w:t>
      </w:r>
      <w:proofErr w:type="spellStart"/>
      <w:r>
        <w:t>Botta</w:t>
      </w:r>
      <w:proofErr w:type="spellEnd"/>
      <w:r>
        <w:t xml:space="preserve"> v </w:t>
      </w:r>
      <w:r>
        <w:rPr>
          <w:lang w:val="en-US"/>
        </w:rPr>
        <w:t>Italy Series A no.66 (1998) 26 EHHR 241, for example;</w:t>
      </w:r>
    </w:p>
  </w:footnote>
  <w:footnote w:id="20">
    <w:p w14:paraId="3D8E31FD" w14:textId="77777777" w:rsidR="008E7D58" w:rsidRPr="0059498F" w:rsidRDefault="008E7D58" w:rsidP="0086465E">
      <w:pPr>
        <w:pStyle w:val="FootnoteText"/>
        <w:rPr>
          <w:lang w:val="en-US"/>
        </w:rPr>
      </w:pPr>
      <w:r>
        <w:rPr>
          <w:rStyle w:val="FootnoteReference"/>
        </w:rPr>
        <w:footnoteRef/>
      </w:r>
      <w:r>
        <w:t xml:space="preserve"> Price v UK App No 33394/96 (2001) 34 EHRR 1285. </w:t>
      </w:r>
      <w:r>
        <w:rPr>
          <w:lang w:val="en-US"/>
        </w:rPr>
        <w:t xml:space="preserve">For greater explanation and analysis see O. De Shutter, </w:t>
      </w:r>
      <w:r>
        <w:rPr>
          <w:i/>
          <w:lang w:val="en-US"/>
        </w:rPr>
        <w:t xml:space="preserve">‘Reasonable </w:t>
      </w:r>
      <w:proofErr w:type="spellStart"/>
      <w:r>
        <w:rPr>
          <w:i/>
          <w:lang w:val="en-US"/>
        </w:rPr>
        <w:t>Accomodation</w:t>
      </w:r>
      <w:proofErr w:type="spellEnd"/>
      <w:r>
        <w:rPr>
          <w:i/>
          <w:lang w:val="en-US"/>
        </w:rPr>
        <w:t xml:space="preserve"> and Positive Obligations in the European Convention on Human Rights’</w:t>
      </w:r>
      <w:r>
        <w:rPr>
          <w:lang w:val="en-US"/>
        </w:rPr>
        <w:t xml:space="preserve"> in Disability Rights in Europe: From Theory to Practice, </w:t>
      </w:r>
      <w:proofErr w:type="spellStart"/>
      <w:r>
        <w:rPr>
          <w:lang w:val="en-US"/>
        </w:rPr>
        <w:t>A.Lawson</w:t>
      </w:r>
      <w:proofErr w:type="spellEnd"/>
      <w:r>
        <w:rPr>
          <w:lang w:val="en-US"/>
        </w:rPr>
        <w:t xml:space="preserve"> ad </w:t>
      </w:r>
      <w:proofErr w:type="spellStart"/>
      <w:r>
        <w:rPr>
          <w:lang w:val="en-US"/>
        </w:rPr>
        <w:t>C.Gooding</w:t>
      </w:r>
      <w:proofErr w:type="spellEnd"/>
      <w:r>
        <w:rPr>
          <w:lang w:val="en-US"/>
        </w:rPr>
        <w:t xml:space="preserve"> (eds.), 2005 (Hart);</w:t>
      </w:r>
    </w:p>
  </w:footnote>
  <w:footnote w:id="21">
    <w:p w14:paraId="13209DCA" w14:textId="77777777" w:rsidR="008E7D58" w:rsidRPr="00D10EF9" w:rsidRDefault="008E7D58" w:rsidP="0086465E">
      <w:pPr>
        <w:pStyle w:val="FootnoteText"/>
        <w:rPr>
          <w:lang w:val="en-US"/>
        </w:rPr>
      </w:pPr>
      <w:r>
        <w:rPr>
          <w:rStyle w:val="FootnoteReference"/>
        </w:rPr>
        <w:footnoteRef/>
      </w:r>
      <w:r>
        <w:t xml:space="preserve"> </w:t>
      </w:r>
      <w:r>
        <w:rPr>
          <w:lang w:val="en-US"/>
        </w:rPr>
        <w:t>1996</w:t>
      </w:r>
    </w:p>
  </w:footnote>
  <w:footnote w:id="22">
    <w:p w14:paraId="655210EB" w14:textId="605DF6A7" w:rsidR="008E7D58" w:rsidRPr="00D10EF9" w:rsidRDefault="008E7D58" w:rsidP="0086465E">
      <w:pPr>
        <w:pStyle w:val="FootnoteText"/>
        <w:rPr>
          <w:lang w:val="en-US"/>
        </w:rPr>
      </w:pPr>
      <w:r>
        <w:rPr>
          <w:rStyle w:val="FootnoteReference"/>
        </w:rPr>
        <w:footnoteRef/>
      </w:r>
      <w:r>
        <w:t xml:space="preserve"> </w:t>
      </w:r>
      <w:r w:rsidRPr="00593176">
        <w:rPr>
          <w:lang w:val="en-US"/>
        </w:rPr>
        <w:t xml:space="preserve">Lawson, A. (2008). </w:t>
      </w:r>
      <w:r w:rsidRPr="00593176">
        <w:rPr>
          <w:i/>
          <w:lang w:val="en-US"/>
        </w:rPr>
        <w:t>Disability and Equality Law in Britain: The Role of Reasonable Adjustments</w:t>
      </w:r>
      <w:r w:rsidRPr="00593176">
        <w:rPr>
          <w:lang w:val="en-US"/>
        </w:rPr>
        <w:t>. Oxford: Hart Publishing</w:t>
      </w:r>
      <w:r>
        <w:rPr>
          <w:lang w:val="en-US"/>
        </w:rPr>
        <w:t>, p50</w:t>
      </w:r>
    </w:p>
  </w:footnote>
  <w:footnote w:id="23">
    <w:p w14:paraId="185FEC9A" w14:textId="5F83BF3F" w:rsidR="008E7D58" w:rsidRPr="00DE0401" w:rsidRDefault="008E7D58" w:rsidP="0086465E">
      <w:pPr>
        <w:widowControl w:val="0"/>
        <w:autoSpaceDE w:val="0"/>
        <w:autoSpaceDN w:val="0"/>
        <w:adjustRightInd w:val="0"/>
        <w:rPr>
          <w:rFonts w:ascii="Times New Roman" w:hAnsi="Times New Roman" w:cs="Times New Roman"/>
          <w:lang w:val="en-US"/>
        </w:rPr>
      </w:pPr>
      <w:r>
        <w:rPr>
          <w:rStyle w:val="FootnoteReference"/>
        </w:rPr>
        <w:footnoteRef/>
      </w:r>
      <w:r>
        <w:t xml:space="preserve"> </w:t>
      </w:r>
      <w:r>
        <w:rPr>
          <w:lang w:val="en-US"/>
        </w:rPr>
        <w:t xml:space="preserve">Parker and Clements, </w:t>
      </w:r>
      <w:r w:rsidRPr="00593176">
        <w:rPr>
          <w:rFonts w:ascii="Times New Roman" w:hAnsi="Times New Roman" w:cs="Times New Roman"/>
          <w:i/>
          <w:lang w:val="en-US"/>
        </w:rPr>
        <w:t>The UN Convention on the Rights of Persons with Disabilities: a new right to independent living?</w:t>
      </w:r>
      <w:r>
        <w:rPr>
          <w:rFonts w:ascii="Times New Roman" w:hAnsi="Times New Roman" w:cs="Times New Roman"/>
          <w:lang w:val="en-US"/>
        </w:rPr>
        <w:t xml:space="preserve"> EHRLR 508 (2008);</w:t>
      </w:r>
      <w:r w:rsidRPr="002E2593">
        <w:rPr>
          <w:lang w:val="en-US"/>
        </w:rPr>
        <w:t xml:space="preserve"> </w:t>
      </w:r>
      <w:r>
        <w:rPr>
          <w:lang w:val="en-US"/>
        </w:rPr>
        <w:t>For more information on the international context, see De Shutter and Parker and Clements;</w:t>
      </w:r>
    </w:p>
  </w:footnote>
  <w:footnote w:id="24">
    <w:p w14:paraId="330492A2" w14:textId="46FDBA30" w:rsidR="008E7D58" w:rsidRPr="005514EE" w:rsidRDefault="008E7D58" w:rsidP="0086465E">
      <w:pPr>
        <w:pStyle w:val="FootnoteText"/>
        <w:rPr>
          <w:lang w:val="en-US"/>
        </w:rPr>
      </w:pPr>
      <w:r>
        <w:rPr>
          <w:rStyle w:val="FootnoteReference"/>
        </w:rPr>
        <w:footnoteRef/>
      </w:r>
      <w:r>
        <w:t xml:space="preserve"> L. Clements  and J. Reid, </w:t>
      </w:r>
      <w:r w:rsidRPr="005514EE">
        <w:rPr>
          <w:i/>
          <w:lang w:val="en-US"/>
        </w:rPr>
        <w:t>The Dog that Didn’t Bark: The Issue of Access to Rights under the European Convention of Human</w:t>
      </w:r>
      <w:r>
        <w:rPr>
          <w:i/>
          <w:lang w:val="en-US"/>
        </w:rPr>
        <w:t xml:space="preserve"> Rights by Disabled People, </w:t>
      </w:r>
      <w:r>
        <w:rPr>
          <w:lang w:val="en-US"/>
        </w:rPr>
        <w:t xml:space="preserve">in Disability Rights in Europe: From Theory to Practice, </w:t>
      </w:r>
      <w:proofErr w:type="spellStart"/>
      <w:r>
        <w:rPr>
          <w:lang w:val="en-US"/>
        </w:rPr>
        <w:t>A.Lawson</w:t>
      </w:r>
      <w:proofErr w:type="spellEnd"/>
      <w:r>
        <w:rPr>
          <w:lang w:val="en-US"/>
        </w:rPr>
        <w:t xml:space="preserve"> ad </w:t>
      </w:r>
      <w:proofErr w:type="spellStart"/>
      <w:r>
        <w:rPr>
          <w:lang w:val="en-US"/>
        </w:rPr>
        <w:t>C.Gooding</w:t>
      </w:r>
      <w:proofErr w:type="spellEnd"/>
      <w:r>
        <w:rPr>
          <w:lang w:val="en-US"/>
        </w:rPr>
        <w:t xml:space="preserve"> (eds.), 2005 (Hart);</w:t>
      </w:r>
    </w:p>
  </w:footnote>
  <w:footnote w:id="25">
    <w:p w14:paraId="429BFD26" w14:textId="77777777" w:rsidR="008E7D58" w:rsidRPr="00194224" w:rsidRDefault="008E7D58" w:rsidP="0086465E">
      <w:pPr>
        <w:pStyle w:val="FootnoteText"/>
        <w:rPr>
          <w:lang w:val="en-US"/>
        </w:rPr>
      </w:pPr>
      <w:r>
        <w:rPr>
          <w:rStyle w:val="FootnoteReference"/>
        </w:rPr>
        <w:footnoteRef/>
      </w:r>
      <w:r>
        <w:t xml:space="preserve"> </w:t>
      </w:r>
      <w:r>
        <w:rPr>
          <w:lang w:val="en-US"/>
        </w:rPr>
        <w:t>S20 Equality Act 2010</w:t>
      </w:r>
    </w:p>
  </w:footnote>
  <w:footnote w:id="26">
    <w:p w14:paraId="754B68A7" w14:textId="1763D664" w:rsidR="008E7D58" w:rsidRPr="004E5B20" w:rsidRDefault="008E7D58" w:rsidP="0086465E">
      <w:pPr>
        <w:pStyle w:val="FootnoteText"/>
        <w:rPr>
          <w:lang w:val="en-US"/>
        </w:rPr>
      </w:pPr>
      <w:r>
        <w:rPr>
          <w:rStyle w:val="FootnoteReference"/>
        </w:rPr>
        <w:footnoteRef/>
      </w:r>
      <w:r>
        <w:t xml:space="preserve"> </w:t>
      </w:r>
      <w:proofErr w:type="spellStart"/>
      <w:r>
        <w:rPr>
          <w:lang w:val="en-US"/>
        </w:rPr>
        <w:t>Fredman</w:t>
      </w:r>
      <w:proofErr w:type="spellEnd"/>
      <w:r>
        <w:rPr>
          <w:lang w:val="en-US"/>
        </w:rPr>
        <w:t xml:space="preserve">, S (2011), </w:t>
      </w:r>
      <w:r w:rsidRPr="00F242F7">
        <w:rPr>
          <w:lang w:val="en-US"/>
        </w:rPr>
        <w:t xml:space="preserve"> </w:t>
      </w:r>
      <w:r w:rsidRPr="00F242F7">
        <w:rPr>
          <w:i/>
          <w:lang w:val="en-US"/>
        </w:rPr>
        <w:t>Discrimination Law</w:t>
      </w:r>
      <w:r>
        <w:rPr>
          <w:lang w:val="en-US"/>
        </w:rPr>
        <w:t xml:space="preserve"> Oxford University Press p 214</w:t>
      </w:r>
    </w:p>
  </w:footnote>
  <w:footnote w:id="27">
    <w:p w14:paraId="68FAC44E" w14:textId="77777777" w:rsidR="008E7D58" w:rsidRPr="0006560F" w:rsidRDefault="008E7D58" w:rsidP="0086465E">
      <w:pPr>
        <w:pStyle w:val="FootnoteText"/>
        <w:rPr>
          <w:lang w:val="en-US"/>
        </w:rPr>
      </w:pPr>
      <w:r>
        <w:rPr>
          <w:rStyle w:val="FootnoteReference"/>
        </w:rPr>
        <w:footnoteRef/>
      </w:r>
      <w:r>
        <w:t xml:space="preserve"> </w:t>
      </w:r>
      <w:r w:rsidRPr="0006560F">
        <w:t>Sched 8, s 2(2)(c)</w:t>
      </w:r>
      <w:r>
        <w:t xml:space="preserve"> Equality Act 2010</w:t>
      </w:r>
      <w:r w:rsidRPr="0006560F">
        <w:t>.</w:t>
      </w:r>
    </w:p>
  </w:footnote>
  <w:footnote w:id="28">
    <w:p w14:paraId="7749C511" w14:textId="33843AD8" w:rsidR="008E7D58" w:rsidRPr="00803455" w:rsidRDefault="008E7D58" w:rsidP="0086465E">
      <w:pPr>
        <w:pStyle w:val="FootnoteText"/>
        <w:rPr>
          <w:lang w:val="en-US"/>
        </w:rPr>
      </w:pPr>
      <w:r>
        <w:rPr>
          <w:rStyle w:val="FootnoteReference"/>
        </w:rPr>
        <w:footnoteRef/>
      </w:r>
      <w:r>
        <w:t xml:space="preserve"> </w:t>
      </w:r>
      <w:r>
        <w:rPr>
          <w:lang w:val="en-US"/>
        </w:rPr>
        <w:t>Schedule 15 Equality Act 2010;</w:t>
      </w:r>
    </w:p>
  </w:footnote>
  <w:footnote w:id="29">
    <w:p w14:paraId="641A0A1F" w14:textId="77777777" w:rsidR="008E7D58" w:rsidRPr="00806446" w:rsidRDefault="008E7D58" w:rsidP="0086465E">
      <w:pPr>
        <w:pStyle w:val="FootnoteText"/>
        <w:rPr>
          <w:lang w:val="en-US"/>
        </w:rPr>
      </w:pPr>
      <w:r>
        <w:rPr>
          <w:rStyle w:val="FootnoteReference"/>
        </w:rPr>
        <w:footnoteRef/>
      </w:r>
      <w:r>
        <w:t xml:space="preserve"> </w:t>
      </w:r>
      <w:r>
        <w:rPr>
          <w:lang w:val="en-US"/>
        </w:rPr>
        <w:t>S20 Equality Act 2010;</w:t>
      </w:r>
    </w:p>
  </w:footnote>
  <w:footnote w:id="30">
    <w:p w14:paraId="5603254C" w14:textId="77777777" w:rsidR="008E7D58" w:rsidRPr="00806446" w:rsidRDefault="008E7D58" w:rsidP="0086465E">
      <w:pPr>
        <w:pStyle w:val="FootnoteText"/>
        <w:rPr>
          <w:lang w:val="en-US"/>
        </w:rPr>
      </w:pPr>
      <w:r>
        <w:rPr>
          <w:rStyle w:val="FootnoteReference"/>
        </w:rPr>
        <w:footnoteRef/>
      </w:r>
      <w:r>
        <w:t xml:space="preserve"> </w:t>
      </w:r>
      <w:r>
        <w:rPr>
          <w:lang w:val="en-US"/>
        </w:rPr>
        <w:t>Lincolnshire Police v Weaver [2008] UKEAT 0622.07.1903 [54] (Elias P);</w:t>
      </w:r>
    </w:p>
  </w:footnote>
  <w:footnote w:id="31">
    <w:p w14:paraId="51BAACE0" w14:textId="77777777" w:rsidR="008E7D58" w:rsidRPr="002C12E5" w:rsidRDefault="008E7D58" w:rsidP="0086465E">
      <w:pPr>
        <w:pStyle w:val="FootnoteText"/>
        <w:rPr>
          <w:lang w:val="en-US"/>
        </w:rPr>
      </w:pPr>
      <w:r>
        <w:rPr>
          <w:rStyle w:val="FootnoteReference"/>
        </w:rPr>
        <w:footnoteRef/>
      </w:r>
      <w:r>
        <w:t xml:space="preserve"> </w:t>
      </w:r>
      <w:r>
        <w:rPr>
          <w:lang w:val="en-US"/>
        </w:rPr>
        <w:t xml:space="preserve">DRC, DDA 1995 Code of Practice: Employment and Occupation; affirmed in Cave v Goodwin [2001] EWCA </w:t>
      </w:r>
      <w:proofErr w:type="spellStart"/>
      <w:r>
        <w:rPr>
          <w:lang w:val="en-US"/>
        </w:rPr>
        <w:t>Civ</w:t>
      </w:r>
      <w:proofErr w:type="spellEnd"/>
      <w:r>
        <w:rPr>
          <w:lang w:val="en-US"/>
        </w:rPr>
        <w:t xml:space="preserve"> 391;</w:t>
      </w:r>
    </w:p>
  </w:footnote>
  <w:footnote w:id="32">
    <w:p w14:paraId="0186E62B" w14:textId="0E71415E" w:rsidR="008E7D58" w:rsidRPr="003D4EC2" w:rsidRDefault="008E7D58" w:rsidP="0086465E">
      <w:pPr>
        <w:pStyle w:val="FootnoteText"/>
        <w:rPr>
          <w:lang w:val="en-US"/>
        </w:rPr>
      </w:pPr>
      <w:r>
        <w:rPr>
          <w:rStyle w:val="FootnoteReference"/>
        </w:rPr>
        <w:footnoteRef/>
      </w:r>
      <w:r>
        <w:t xml:space="preserve"> </w:t>
      </w:r>
      <w:r>
        <w:rPr>
          <w:lang w:val="en-US"/>
        </w:rPr>
        <w:t xml:space="preserve">O’Hanlon v Commissioners of HM Revenue and Customs [2006] IRLR 840 (EAT) [56]. Approved at [2007] EWCA </w:t>
      </w:r>
      <w:proofErr w:type="spellStart"/>
      <w:r>
        <w:rPr>
          <w:lang w:val="en-US"/>
        </w:rPr>
        <w:t>Civ</w:t>
      </w:r>
      <w:proofErr w:type="spellEnd"/>
      <w:r>
        <w:rPr>
          <w:lang w:val="en-US"/>
        </w:rPr>
        <w:t xml:space="preserve"> 283 [86];</w:t>
      </w:r>
    </w:p>
  </w:footnote>
  <w:footnote w:id="33">
    <w:p w14:paraId="2F38BC77" w14:textId="72D24968" w:rsidR="008E7D58" w:rsidRPr="003D4EC2" w:rsidRDefault="008E7D58" w:rsidP="0086465E">
      <w:pPr>
        <w:pStyle w:val="FootnoteText"/>
        <w:rPr>
          <w:lang w:val="en-US"/>
        </w:rPr>
      </w:pPr>
      <w:r>
        <w:rPr>
          <w:rStyle w:val="FootnoteReference"/>
        </w:rPr>
        <w:footnoteRef/>
      </w:r>
      <w:r>
        <w:t xml:space="preserve"> </w:t>
      </w:r>
      <w:r>
        <w:rPr>
          <w:lang w:val="en-US"/>
        </w:rPr>
        <w:t>Ibid at [69];</w:t>
      </w:r>
    </w:p>
  </w:footnote>
  <w:footnote w:id="34">
    <w:p w14:paraId="2EA2E797" w14:textId="77777777" w:rsidR="008E7D58" w:rsidRPr="003D4EC2" w:rsidRDefault="008E7D58" w:rsidP="0086465E">
      <w:pPr>
        <w:pStyle w:val="FootnoteText"/>
        <w:rPr>
          <w:lang w:val="en-US"/>
        </w:rPr>
      </w:pPr>
      <w:r>
        <w:rPr>
          <w:rStyle w:val="FootnoteReference"/>
        </w:rPr>
        <w:footnoteRef/>
      </w:r>
      <w:r>
        <w:t xml:space="preserve"> </w:t>
      </w:r>
      <w:r>
        <w:rPr>
          <w:lang w:val="en-US"/>
        </w:rPr>
        <w:t>Ibid;</w:t>
      </w:r>
    </w:p>
  </w:footnote>
  <w:footnote w:id="35">
    <w:p w14:paraId="3A9B6056" w14:textId="29E56474" w:rsidR="008E7D58" w:rsidRPr="008809AF" w:rsidRDefault="008E7D58" w:rsidP="0086465E">
      <w:pPr>
        <w:pStyle w:val="FootnoteText"/>
        <w:rPr>
          <w:lang w:val="en-US"/>
        </w:rPr>
      </w:pPr>
      <w:r>
        <w:rPr>
          <w:rStyle w:val="FootnoteReference"/>
        </w:rPr>
        <w:footnoteRef/>
      </w:r>
      <w:r>
        <w:t xml:space="preserve"> </w:t>
      </w:r>
      <w:r>
        <w:rPr>
          <w:lang w:val="en-US"/>
        </w:rPr>
        <w:t>[2004] IRLR 703 (CA).</w:t>
      </w:r>
    </w:p>
  </w:footnote>
  <w:footnote w:id="36">
    <w:p w14:paraId="75CBA894" w14:textId="19A24A80" w:rsidR="008E7D58" w:rsidRPr="00C1065D" w:rsidRDefault="008E7D58" w:rsidP="0086465E">
      <w:pPr>
        <w:pStyle w:val="FootnoteText"/>
        <w:rPr>
          <w:lang w:val="en-US"/>
        </w:rPr>
      </w:pPr>
      <w:r>
        <w:rPr>
          <w:rStyle w:val="FootnoteReference"/>
        </w:rPr>
        <w:footnoteRef/>
      </w:r>
      <w:r>
        <w:t xml:space="preserve"> </w:t>
      </w:r>
      <w:r>
        <w:rPr>
          <w:lang w:val="en-US"/>
        </w:rPr>
        <w:t>Sch. 2 Equality Act 2010;</w:t>
      </w:r>
    </w:p>
  </w:footnote>
  <w:footnote w:id="37">
    <w:p w14:paraId="210F3C7D" w14:textId="4F94C6FA" w:rsidR="008E7D58" w:rsidRPr="00664A91" w:rsidRDefault="008E7D58" w:rsidP="0086465E">
      <w:pPr>
        <w:pStyle w:val="FootnoteText"/>
        <w:rPr>
          <w:lang w:val="en-US"/>
        </w:rPr>
      </w:pPr>
      <w:r>
        <w:rPr>
          <w:rStyle w:val="FootnoteReference"/>
        </w:rPr>
        <w:footnoteRef/>
      </w:r>
      <w:r>
        <w:t xml:space="preserve"> </w:t>
      </w:r>
      <w:r>
        <w:rPr>
          <w:lang w:val="en-US"/>
        </w:rPr>
        <w:t>Ibid subsection 5;</w:t>
      </w:r>
    </w:p>
  </w:footnote>
  <w:footnote w:id="38">
    <w:p w14:paraId="609051AA" w14:textId="0210D6A3" w:rsidR="008E7D58" w:rsidRPr="00D64CB0" w:rsidRDefault="008E7D58" w:rsidP="0086465E">
      <w:pPr>
        <w:pStyle w:val="FootnoteText"/>
        <w:rPr>
          <w:lang w:val="en-US"/>
        </w:rPr>
      </w:pPr>
      <w:r>
        <w:rPr>
          <w:rStyle w:val="FootnoteReference"/>
        </w:rPr>
        <w:footnoteRef/>
      </w:r>
      <w:r>
        <w:t xml:space="preserve"> </w:t>
      </w:r>
      <w:r>
        <w:rPr>
          <w:lang w:val="en-US"/>
        </w:rPr>
        <w:t>S20 Equality Act 2010;</w:t>
      </w:r>
    </w:p>
  </w:footnote>
  <w:footnote w:id="39">
    <w:p w14:paraId="1B99C0D3" w14:textId="31B0FCF1" w:rsidR="008E7D58" w:rsidRPr="00EB780D" w:rsidRDefault="008E7D58" w:rsidP="0086465E">
      <w:pPr>
        <w:pStyle w:val="FootnoteText"/>
        <w:rPr>
          <w:lang w:val="en-US"/>
        </w:rPr>
      </w:pPr>
      <w:r>
        <w:rPr>
          <w:rStyle w:val="FootnoteReference"/>
        </w:rPr>
        <w:footnoteRef/>
      </w:r>
      <w:r>
        <w:t xml:space="preserve"> See </w:t>
      </w:r>
      <w:r>
        <w:rPr>
          <w:lang w:val="en-US"/>
        </w:rPr>
        <w:t xml:space="preserve">NTL Group Ltd v </w:t>
      </w:r>
      <w:proofErr w:type="spellStart"/>
      <w:r>
        <w:rPr>
          <w:lang w:val="en-US"/>
        </w:rPr>
        <w:t>Difolco</w:t>
      </w:r>
      <w:proofErr w:type="spellEnd"/>
      <w:r>
        <w:rPr>
          <w:lang w:val="en-US"/>
        </w:rPr>
        <w:t xml:space="preserve"> [2006] EWCA </w:t>
      </w:r>
      <w:proofErr w:type="spellStart"/>
      <w:r>
        <w:rPr>
          <w:lang w:val="en-US"/>
        </w:rPr>
        <w:t>Civ</w:t>
      </w:r>
      <w:proofErr w:type="spellEnd"/>
      <w:r>
        <w:rPr>
          <w:lang w:val="en-US"/>
        </w:rPr>
        <w:t xml:space="preserve"> 1508;</w:t>
      </w:r>
    </w:p>
  </w:footnote>
  <w:footnote w:id="40">
    <w:p w14:paraId="74871EDD" w14:textId="6DE478F9" w:rsidR="008E7D58" w:rsidRPr="00EB780D" w:rsidRDefault="008E7D58" w:rsidP="0086465E">
      <w:pPr>
        <w:pStyle w:val="FootnoteText"/>
        <w:rPr>
          <w:lang w:val="en-US"/>
        </w:rPr>
      </w:pPr>
      <w:r>
        <w:rPr>
          <w:rStyle w:val="FootnoteReference"/>
        </w:rPr>
        <w:footnoteRef/>
      </w:r>
      <w:r>
        <w:t xml:space="preserve"> </w:t>
      </w:r>
      <w:r>
        <w:rPr>
          <w:lang w:val="en-US"/>
        </w:rPr>
        <w:t xml:space="preserve">Bruce v </w:t>
      </w:r>
      <w:proofErr w:type="spellStart"/>
      <w:r>
        <w:rPr>
          <w:lang w:val="en-US"/>
        </w:rPr>
        <w:t>Charmerlain</w:t>
      </w:r>
      <w:proofErr w:type="spellEnd"/>
      <w:r>
        <w:rPr>
          <w:lang w:val="en-US"/>
        </w:rPr>
        <w:t xml:space="preserve"> [2004] EWCA </w:t>
      </w:r>
      <w:proofErr w:type="spellStart"/>
      <w:r>
        <w:rPr>
          <w:lang w:val="en-US"/>
        </w:rPr>
        <w:t>Civ</w:t>
      </w:r>
      <w:proofErr w:type="spellEnd"/>
      <w:r>
        <w:rPr>
          <w:lang w:val="en-US"/>
        </w:rPr>
        <w:t xml:space="preserve"> 1047;</w:t>
      </w:r>
    </w:p>
  </w:footnote>
  <w:footnote w:id="41">
    <w:p w14:paraId="7EB7F7AC" w14:textId="7101D6F9" w:rsidR="008E7D58" w:rsidRPr="00D07095" w:rsidRDefault="008E7D58" w:rsidP="0086465E">
      <w:pPr>
        <w:pStyle w:val="FootnoteText"/>
        <w:rPr>
          <w:i/>
          <w:lang w:val="en-US"/>
        </w:rPr>
      </w:pPr>
      <w:r>
        <w:rPr>
          <w:rStyle w:val="FootnoteReference"/>
        </w:rPr>
        <w:footnoteRef/>
      </w:r>
      <w:r>
        <w:t xml:space="preserve"> </w:t>
      </w:r>
      <w:r>
        <w:rPr>
          <w:lang w:val="en-US"/>
        </w:rPr>
        <w:t>Paul v National Probation Service [2004] IRLR 190 (EAT);</w:t>
      </w:r>
    </w:p>
  </w:footnote>
  <w:footnote w:id="42">
    <w:p w14:paraId="72A57732" w14:textId="6C2481CF" w:rsidR="008E7D58" w:rsidRPr="002E6CEA" w:rsidRDefault="008E7D58" w:rsidP="0086465E">
      <w:pPr>
        <w:pStyle w:val="FootnoteText"/>
        <w:rPr>
          <w:lang w:val="en-US"/>
        </w:rPr>
      </w:pPr>
      <w:r>
        <w:rPr>
          <w:rStyle w:val="FootnoteReference"/>
        </w:rPr>
        <w:footnoteRef/>
      </w:r>
      <w:r>
        <w:t xml:space="preserve"> EHRC, Equality Act 2010: </w:t>
      </w:r>
      <w:r w:rsidRPr="00FA2901">
        <w:t>DRAFT Code of Practice – Services, Public Functions and Associations Code</w:t>
      </w:r>
      <w:r>
        <w:t>;</w:t>
      </w:r>
    </w:p>
  </w:footnote>
  <w:footnote w:id="43">
    <w:p w14:paraId="50DAA0CA" w14:textId="6EA10BA9" w:rsidR="008E7D58" w:rsidRPr="00DE7340" w:rsidRDefault="008E7D58" w:rsidP="0086465E">
      <w:pPr>
        <w:pStyle w:val="FootnoteText"/>
        <w:rPr>
          <w:lang w:val="en-US"/>
        </w:rPr>
      </w:pPr>
      <w:r>
        <w:rPr>
          <w:rStyle w:val="FootnoteReference"/>
        </w:rPr>
        <w:footnoteRef/>
      </w:r>
      <w:r>
        <w:t xml:space="preserve"> </w:t>
      </w:r>
      <w:r>
        <w:rPr>
          <w:lang w:val="en-US"/>
        </w:rPr>
        <w:t>S20(10) Equality Act 2010.</w:t>
      </w:r>
    </w:p>
  </w:footnote>
  <w:footnote w:id="44">
    <w:p w14:paraId="6E574750" w14:textId="1C3528E3" w:rsidR="008E7D58" w:rsidRPr="00DE7340" w:rsidRDefault="008E7D58" w:rsidP="0086465E">
      <w:pPr>
        <w:pStyle w:val="FootnoteText"/>
        <w:rPr>
          <w:lang w:val="en-US"/>
        </w:rPr>
      </w:pPr>
      <w:r>
        <w:rPr>
          <w:rStyle w:val="FootnoteReference"/>
        </w:rPr>
        <w:footnoteRef/>
      </w:r>
      <w:r>
        <w:t xml:space="preserve"> </w:t>
      </w:r>
      <w:r>
        <w:rPr>
          <w:lang w:val="en-US"/>
        </w:rPr>
        <w:t>S20(2) Equality Act 2010;</w:t>
      </w:r>
    </w:p>
  </w:footnote>
  <w:footnote w:id="45">
    <w:p w14:paraId="2557B16A" w14:textId="77777777" w:rsidR="008E7D58" w:rsidRPr="007013BD" w:rsidRDefault="008E7D58" w:rsidP="0086465E">
      <w:pPr>
        <w:pStyle w:val="FootnoteText"/>
        <w:rPr>
          <w:lang w:val="en-US"/>
        </w:rPr>
      </w:pPr>
      <w:r>
        <w:rPr>
          <w:rStyle w:val="FootnoteReference"/>
        </w:rPr>
        <w:footnoteRef/>
      </w:r>
      <w:r>
        <w:t xml:space="preserve"> </w:t>
      </w:r>
      <w:r>
        <w:rPr>
          <w:lang w:val="en-US"/>
        </w:rPr>
        <w:t xml:space="preserve">See </w:t>
      </w:r>
      <w:proofErr w:type="spellStart"/>
      <w:r>
        <w:rPr>
          <w:lang w:val="en-US"/>
        </w:rPr>
        <w:t>Gallaghan</w:t>
      </w:r>
      <w:proofErr w:type="spellEnd"/>
      <w:r>
        <w:rPr>
          <w:lang w:val="en-US"/>
        </w:rPr>
        <w:t xml:space="preserve"> v Glasgow City Council [2001] IRLR 724 for example</w:t>
      </w:r>
    </w:p>
  </w:footnote>
  <w:footnote w:id="46">
    <w:p w14:paraId="303DF1F8" w14:textId="77777777" w:rsidR="008E7D58" w:rsidRPr="003760B4" w:rsidRDefault="008E7D58" w:rsidP="0086465E">
      <w:pPr>
        <w:pStyle w:val="FootnoteText"/>
        <w:rPr>
          <w:lang w:val="en-US"/>
        </w:rPr>
      </w:pPr>
      <w:r>
        <w:rPr>
          <w:rStyle w:val="FootnoteReference"/>
        </w:rPr>
        <w:footnoteRef/>
      </w:r>
      <w:r>
        <w:t xml:space="preserve"> </w:t>
      </w:r>
      <w:r>
        <w:rPr>
          <w:lang w:val="en-US"/>
        </w:rPr>
        <w:t>Davies v Toys ‘R’ Us (1998) ET/1900286/98</w:t>
      </w:r>
    </w:p>
  </w:footnote>
  <w:footnote w:id="47">
    <w:p w14:paraId="5378955A" w14:textId="3E6E4E8D" w:rsidR="008E7D58" w:rsidRPr="003760B4" w:rsidRDefault="008E7D58" w:rsidP="0086465E">
      <w:pPr>
        <w:pStyle w:val="FootnoteText"/>
        <w:rPr>
          <w:lang w:val="en-US"/>
        </w:rPr>
      </w:pPr>
      <w:r>
        <w:rPr>
          <w:rStyle w:val="FootnoteReference"/>
        </w:rPr>
        <w:footnoteRef/>
      </w:r>
      <w:r>
        <w:t xml:space="preserve"> </w:t>
      </w:r>
      <w:r>
        <w:rPr>
          <w:rFonts w:ascii="Times New Roman" w:hAnsi="Times New Roman" w:cs="Times New Roman"/>
          <w:lang w:val="en-US"/>
        </w:rPr>
        <w:t xml:space="preserve"> [1998] IRLR 628;</w:t>
      </w:r>
    </w:p>
  </w:footnote>
  <w:footnote w:id="48">
    <w:p w14:paraId="54068ADD" w14:textId="28C85901" w:rsidR="008E7D58" w:rsidRPr="00EA6CA2" w:rsidRDefault="008E7D58" w:rsidP="0086465E">
      <w:pPr>
        <w:pStyle w:val="FootnoteText"/>
        <w:rPr>
          <w:lang w:val="en-US"/>
        </w:rPr>
      </w:pPr>
      <w:r>
        <w:rPr>
          <w:rStyle w:val="FootnoteReference"/>
        </w:rPr>
        <w:footnoteRef/>
      </w:r>
      <w:r>
        <w:t xml:space="preserve"> </w:t>
      </w:r>
      <w:r w:rsidRPr="00593176">
        <w:rPr>
          <w:lang w:val="en-US"/>
        </w:rPr>
        <w:t xml:space="preserve">Lawson, A. (2008). </w:t>
      </w:r>
      <w:r w:rsidRPr="00593176">
        <w:rPr>
          <w:i/>
          <w:lang w:val="en-US"/>
        </w:rPr>
        <w:t>Disability and Equality Law in Britain: The Role of Reasonable Adjustments. Oxford: Hart Publishing</w:t>
      </w:r>
      <w:r>
        <w:rPr>
          <w:lang w:val="en-US"/>
        </w:rPr>
        <w:t>, p78;</w:t>
      </w:r>
    </w:p>
  </w:footnote>
  <w:footnote w:id="49">
    <w:p w14:paraId="1A0A3314" w14:textId="330CDAD9" w:rsidR="008E7D58" w:rsidRPr="006C4FBB" w:rsidRDefault="008E7D58" w:rsidP="0086465E">
      <w:pPr>
        <w:pStyle w:val="FootnoteText"/>
        <w:rPr>
          <w:lang w:val="en-US"/>
        </w:rPr>
      </w:pPr>
      <w:r>
        <w:rPr>
          <w:rStyle w:val="FootnoteReference"/>
        </w:rPr>
        <w:footnoteRef/>
      </w:r>
      <w:r>
        <w:t xml:space="preserve"> </w:t>
      </w:r>
      <w:r>
        <w:rPr>
          <w:lang w:val="en-US"/>
        </w:rPr>
        <w:t>Mid Staffordshire NHS Trust v Cambridge [2003] IRLR 566 (EAT) at [17].</w:t>
      </w:r>
    </w:p>
  </w:footnote>
  <w:footnote w:id="50">
    <w:p w14:paraId="1456443C" w14:textId="77777777" w:rsidR="008E7D58" w:rsidRPr="006C4FBB" w:rsidRDefault="008E7D58" w:rsidP="0086465E">
      <w:pPr>
        <w:pStyle w:val="FootnoteText"/>
        <w:rPr>
          <w:lang w:val="en-US"/>
        </w:rPr>
      </w:pPr>
      <w:r>
        <w:rPr>
          <w:rStyle w:val="FootnoteReference"/>
        </w:rPr>
        <w:footnoteRef/>
      </w:r>
      <w:r>
        <w:t xml:space="preserve"> </w:t>
      </w:r>
      <w:r>
        <w:rPr>
          <w:lang w:val="en-US"/>
        </w:rPr>
        <w:t>Tarbuck v Sainsbury’s supermarkets [2006] IRLR 664 (EAT) at [77];</w:t>
      </w:r>
    </w:p>
  </w:footnote>
  <w:footnote w:id="51">
    <w:p w14:paraId="4C846D97" w14:textId="77777777" w:rsidR="008E7D58" w:rsidRPr="00CE3FCD" w:rsidRDefault="008E7D58" w:rsidP="0086465E">
      <w:pPr>
        <w:pStyle w:val="FootnoteText"/>
        <w:rPr>
          <w:lang w:val="en-US"/>
        </w:rPr>
      </w:pPr>
      <w:r>
        <w:rPr>
          <w:rStyle w:val="FootnoteReference"/>
        </w:rPr>
        <w:footnoteRef/>
      </w:r>
      <w:r>
        <w:t xml:space="preserve"> </w:t>
      </w:r>
      <w:r>
        <w:rPr>
          <w:lang w:val="en-US"/>
        </w:rPr>
        <w:t>Project Management Institute v Latif [2007] IRLR 579 (EAT) (Elias P) at [11];</w:t>
      </w:r>
    </w:p>
  </w:footnote>
  <w:footnote w:id="52">
    <w:p w14:paraId="0F6D11C0" w14:textId="77777777" w:rsidR="008E7D58" w:rsidRPr="00B416C4" w:rsidRDefault="008E7D58" w:rsidP="0086465E">
      <w:pPr>
        <w:pStyle w:val="FootnoteText"/>
        <w:rPr>
          <w:lang w:val="en-US"/>
        </w:rPr>
      </w:pPr>
      <w:r>
        <w:rPr>
          <w:rStyle w:val="FootnoteReference"/>
        </w:rPr>
        <w:footnoteRef/>
      </w:r>
      <w:r>
        <w:t xml:space="preserve"> </w:t>
      </w:r>
      <w:r>
        <w:rPr>
          <w:lang w:val="en-US"/>
        </w:rPr>
        <w:t>See Collins v Royal National Theatre IRLR 395 (CA) at [20] per Sedley LJ;</w:t>
      </w:r>
    </w:p>
  </w:footnote>
  <w:footnote w:id="53">
    <w:p w14:paraId="664EA8B2" w14:textId="77777777" w:rsidR="008E7D58" w:rsidRPr="00CE3FCD" w:rsidRDefault="008E7D58" w:rsidP="0086465E">
      <w:pPr>
        <w:pStyle w:val="FootnoteText"/>
        <w:rPr>
          <w:lang w:val="en-US"/>
        </w:rPr>
      </w:pPr>
      <w:r>
        <w:rPr>
          <w:rStyle w:val="FootnoteReference"/>
        </w:rPr>
        <w:footnoteRef/>
      </w:r>
      <w:r>
        <w:t xml:space="preserve"> Latif </w:t>
      </w:r>
      <w:r>
        <w:rPr>
          <w:lang w:val="en-US"/>
        </w:rPr>
        <w:t>at [53] – [57];</w:t>
      </w:r>
    </w:p>
  </w:footnote>
  <w:footnote w:id="54">
    <w:p w14:paraId="72AAAC79" w14:textId="0881950E" w:rsidR="008E7D58" w:rsidRPr="00B416C4" w:rsidRDefault="008E7D58" w:rsidP="0086465E">
      <w:pPr>
        <w:pStyle w:val="FootnoteText"/>
        <w:rPr>
          <w:lang w:val="en-US"/>
        </w:rPr>
      </w:pPr>
      <w:r>
        <w:rPr>
          <w:rStyle w:val="FootnoteReference"/>
        </w:rPr>
        <w:footnoteRef/>
      </w:r>
      <w:r>
        <w:t xml:space="preserve"> </w:t>
      </w:r>
      <w:r w:rsidRPr="00593176">
        <w:rPr>
          <w:lang w:val="en-US"/>
        </w:rPr>
        <w:t>Lawson, A. (2008). Disability and Equality Law in Britain: The Role of Reasonable Adjus</w:t>
      </w:r>
      <w:r>
        <w:rPr>
          <w:lang w:val="en-US"/>
        </w:rPr>
        <w:t>tments. Oxford: Hart Publishing, p82;</w:t>
      </w:r>
    </w:p>
  </w:footnote>
  <w:footnote w:id="55">
    <w:p w14:paraId="18A788CF" w14:textId="2472AB88" w:rsidR="008E7D58" w:rsidRPr="002A3F50" w:rsidRDefault="008E7D58" w:rsidP="0086465E">
      <w:pPr>
        <w:pStyle w:val="FootnoteText"/>
        <w:rPr>
          <w:lang w:val="en-US"/>
        </w:rPr>
      </w:pPr>
      <w:r>
        <w:rPr>
          <w:rStyle w:val="FootnoteReference"/>
        </w:rPr>
        <w:footnoteRef/>
      </w:r>
      <w:r>
        <w:t xml:space="preserve"> </w:t>
      </w:r>
      <w:r>
        <w:rPr>
          <w:lang w:val="en-US"/>
        </w:rPr>
        <w:t>Archibald above;</w:t>
      </w:r>
    </w:p>
  </w:footnote>
  <w:footnote w:id="56">
    <w:p w14:paraId="6E382192" w14:textId="5E2B439E" w:rsidR="008E7D58" w:rsidRPr="002A3F50" w:rsidRDefault="008E7D58" w:rsidP="0086465E">
      <w:pPr>
        <w:pStyle w:val="FootnoteText"/>
        <w:rPr>
          <w:lang w:val="en-US"/>
        </w:rPr>
      </w:pPr>
      <w:r>
        <w:rPr>
          <w:rStyle w:val="FootnoteReference"/>
        </w:rPr>
        <w:footnoteRef/>
      </w:r>
      <w:r>
        <w:t xml:space="preserve"> </w:t>
      </w:r>
      <w:r>
        <w:rPr>
          <w:lang w:val="en-US"/>
        </w:rPr>
        <w:t>S18B(1)(b) Disability Discrimination Act 1995;</w:t>
      </w:r>
    </w:p>
  </w:footnote>
  <w:footnote w:id="57">
    <w:p w14:paraId="7A6CDCF7" w14:textId="604B7D8C" w:rsidR="008E7D58" w:rsidRPr="000B7C98" w:rsidRDefault="008E7D58" w:rsidP="0086465E">
      <w:pPr>
        <w:pStyle w:val="FootnoteText"/>
        <w:rPr>
          <w:lang w:val="en-US"/>
        </w:rPr>
      </w:pPr>
      <w:r>
        <w:rPr>
          <w:rStyle w:val="FootnoteReference"/>
        </w:rPr>
        <w:footnoteRef/>
      </w:r>
      <w:r>
        <w:t xml:space="preserve"> DRC, </w:t>
      </w:r>
      <w:r w:rsidRPr="00A40CA3">
        <w:rPr>
          <w:i/>
          <w:lang w:val="en-US"/>
        </w:rPr>
        <w:t>DDA Code of Practice: Employment and Occupation</w:t>
      </w:r>
      <w:r>
        <w:rPr>
          <w:lang w:val="en-US"/>
        </w:rPr>
        <w:t xml:space="preserve"> at para 5.30;</w:t>
      </w:r>
    </w:p>
  </w:footnote>
  <w:footnote w:id="58">
    <w:p w14:paraId="3D65E48B" w14:textId="7D6D9997" w:rsidR="008E7D58" w:rsidRPr="000B7C98" w:rsidRDefault="008E7D58" w:rsidP="0086465E">
      <w:pPr>
        <w:pStyle w:val="FootnoteText"/>
        <w:rPr>
          <w:lang w:val="en-US"/>
        </w:rPr>
      </w:pPr>
      <w:r>
        <w:rPr>
          <w:rStyle w:val="FootnoteReference"/>
        </w:rPr>
        <w:footnoteRef/>
      </w:r>
      <w:r>
        <w:t xml:space="preserve"> </w:t>
      </w:r>
      <w:r>
        <w:rPr>
          <w:lang w:val="en-US"/>
        </w:rPr>
        <w:t>Para C of S18B(1)(b) Disability Discrimination Act 1995</w:t>
      </w:r>
    </w:p>
  </w:footnote>
  <w:footnote w:id="59">
    <w:p w14:paraId="08FD893B" w14:textId="77777777" w:rsidR="008E7D58" w:rsidRPr="000B7C98" w:rsidRDefault="008E7D58" w:rsidP="0086465E">
      <w:pPr>
        <w:pStyle w:val="FootnoteText"/>
        <w:rPr>
          <w:lang w:val="en-US"/>
        </w:rPr>
      </w:pPr>
      <w:r>
        <w:rPr>
          <w:rStyle w:val="FootnoteReference"/>
        </w:rPr>
        <w:footnoteRef/>
      </w:r>
      <w:r>
        <w:t xml:space="preserve"> </w:t>
      </w:r>
      <w:r>
        <w:rPr>
          <w:lang w:val="en-US"/>
        </w:rPr>
        <w:t>DDA Code of Practice: Employment and Occupation at para 5.31-4;</w:t>
      </w:r>
    </w:p>
  </w:footnote>
  <w:footnote w:id="60">
    <w:p w14:paraId="01866305" w14:textId="6D1519DF" w:rsidR="008E7D58" w:rsidRPr="00297DC5" w:rsidRDefault="008E7D58" w:rsidP="0086465E">
      <w:pPr>
        <w:pStyle w:val="FootnoteText"/>
        <w:rPr>
          <w:lang w:val="en-US"/>
        </w:rPr>
      </w:pPr>
      <w:r>
        <w:rPr>
          <w:rStyle w:val="FootnoteReference"/>
        </w:rPr>
        <w:footnoteRef/>
      </w:r>
      <w:r>
        <w:t xml:space="preserve"> </w:t>
      </w:r>
      <w:r>
        <w:rPr>
          <w:lang w:val="en-US"/>
        </w:rPr>
        <w:t xml:space="preserve">See </w:t>
      </w:r>
      <w:hyperlink r:id="rId1" w:history="1">
        <w:r w:rsidRPr="000032F4">
          <w:rPr>
            <w:rStyle w:val="Hyperlink"/>
            <w:lang w:val="en-US"/>
          </w:rPr>
          <w:t>https://www.gov.uk/access-to-work</w:t>
        </w:r>
      </w:hyperlink>
      <w:r>
        <w:rPr>
          <w:lang w:val="en-US"/>
        </w:rPr>
        <w:t xml:space="preserve"> for more information.</w:t>
      </w:r>
    </w:p>
  </w:footnote>
  <w:footnote w:id="61">
    <w:p w14:paraId="1B916E57" w14:textId="4EF3D7A8" w:rsidR="008E7D58" w:rsidRPr="00E03AFD" w:rsidRDefault="008E7D58" w:rsidP="0086465E">
      <w:pPr>
        <w:pStyle w:val="FootnoteText"/>
        <w:rPr>
          <w:lang w:val="en-US"/>
        </w:rPr>
      </w:pPr>
      <w:r>
        <w:rPr>
          <w:rStyle w:val="FootnoteReference"/>
        </w:rPr>
        <w:footnoteRef/>
      </w:r>
      <w:r>
        <w:t xml:space="preserve"> S.A. Moss and DA </w:t>
      </w:r>
      <w:proofErr w:type="spellStart"/>
      <w:r>
        <w:t>Malin</w:t>
      </w:r>
      <w:proofErr w:type="spellEnd"/>
      <w:r>
        <w:t xml:space="preserve"> </w:t>
      </w:r>
      <w:r>
        <w:rPr>
          <w:i/>
        </w:rPr>
        <w:t>Public Funding for Reasonable Accommodations: Rational Solution to Rational Discrimination and the Disabilities of the ADA’</w:t>
      </w:r>
      <w:r>
        <w:t>(1998) 33 Harvard Civil Rights and Civil Liberties Law Review 197.</w:t>
      </w:r>
    </w:p>
  </w:footnote>
  <w:footnote w:id="62">
    <w:p w14:paraId="3542C9F0" w14:textId="77777777" w:rsidR="008E7D58" w:rsidRPr="00D2145A" w:rsidRDefault="008E7D58" w:rsidP="0086465E">
      <w:pPr>
        <w:pStyle w:val="FootnoteText"/>
        <w:rPr>
          <w:lang w:val="en-US"/>
        </w:rPr>
      </w:pPr>
      <w:r>
        <w:rPr>
          <w:rStyle w:val="FootnoteReference"/>
        </w:rPr>
        <w:footnoteRef/>
      </w:r>
      <w:r>
        <w:t xml:space="preserve"> </w:t>
      </w:r>
      <w:r>
        <w:rPr>
          <w:lang w:val="en-US"/>
        </w:rPr>
        <w:t>DDA Code of Practice</w:t>
      </w:r>
    </w:p>
  </w:footnote>
  <w:footnote w:id="63">
    <w:p w14:paraId="5E49C25B" w14:textId="77777777" w:rsidR="008E7D58" w:rsidRPr="000B7C98" w:rsidRDefault="008E7D58" w:rsidP="0086465E">
      <w:pPr>
        <w:pStyle w:val="FootnoteText"/>
        <w:rPr>
          <w:lang w:val="en-US"/>
        </w:rPr>
      </w:pPr>
      <w:r>
        <w:rPr>
          <w:rStyle w:val="FootnoteReference"/>
        </w:rPr>
        <w:footnoteRef/>
      </w:r>
      <w:r>
        <w:t xml:space="preserve"> </w:t>
      </w:r>
      <w:r>
        <w:rPr>
          <w:lang w:val="en-US"/>
        </w:rPr>
        <w:t>Para D of S18B(1)(b) DDA</w:t>
      </w:r>
    </w:p>
  </w:footnote>
  <w:footnote w:id="64">
    <w:p w14:paraId="4EB20E2A" w14:textId="5C438970" w:rsidR="008E7D58" w:rsidRPr="00D2145A" w:rsidRDefault="008E7D58" w:rsidP="0086465E">
      <w:pPr>
        <w:pStyle w:val="FootnoteText"/>
        <w:rPr>
          <w:lang w:val="en-US"/>
        </w:rPr>
      </w:pPr>
      <w:r>
        <w:rPr>
          <w:rStyle w:val="FootnoteReference"/>
        </w:rPr>
        <w:footnoteRef/>
      </w:r>
      <w:r>
        <w:t xml:space="preserve"> </w:t>
      </w:r>
      <w:r w:rsidRPr="00593176">
        <w:rPr>
          <w:lang w:val="en-US"/>
        </w:rPr>
        <w:t>Lawson, A. (2008). Disability and Equality Law in Britain: The Role of Reasonable Adjustme</w:t>
      </w:r>
      <w:r>
        <w:rPr>
          <w:lang w:val="en-US"/>
        </w:rPr>
        <w:t>nts. Oxford: Hart Publishing, p87</w:t>
      </w:r>
    </w:p>
  </w:footnote>
  <w:footnote w:id="65">
    <w:p w14:paraId="1FD62F09" w14:textId="77777777" w:rsidR="008E7D58" w:rsidRPr="008F1299" w:rsidRDefault="008E7D58" w:rsidP="0086465E">
      <w:pPr>
        <w:pStyle w:val="FootnoteText"/>
        <w:rPr>
          <w:lang w:val="en-US"/>
        </w:rPr>
      </w:pPr>
      <w:r>
        <w:rPr>
          <w:rStyle w:val="FootnoteReference"/>
        </w:rPr>
        <w:footnoteRef/>
      </w:r>
      <w:r>
        <w:t xml:space="preserve"> </w:t>
      </w:r>
      <w:r>
        <w:rPr>
          <w:lang w:val="en-US"/>
        </w:rPr>
        <w:t>In England and Wales, the Building Regulations 2000 (SI 2000/2531) Sch. 1 part M; in Scotland, Building (Scotland) Regulations 2004;</w:t>
      </w:r>
    </w:p>
  </w:footnote>
  <w:footnote w:id="66">
    <w:p w14:paraId="76D73493" w14:textId="77777777" w:rsidR="008E7D58" w:rsidRPr="00A246FC" w:rsidRDefault="008E7D58" w:rsidP="0086465E">
      <w:pPr>
        <w:pStyle w:val="FootnoteText"/>
        <w:rPr>
          <w:lang w:val="en-US"/>
        </w:rPr>
      </w:pPr>
      <w:r>
        <w:rPr>
          <w:rStyle w:val="FootnoteReference"/>
        </w:rPr>
        <w:footnoteRef/>
      </w:r>
      <w:r>
        <w:t xml:space="preserve"> </w:t>
      </w:r>
      <w:r>
        <w:rPr>
          <w:lang w:val="en-US"/>
        </w:rPr>
        <w:t xml:space="preserve">DDA </w:t>
      </w:r>
      <w:proofErr w:type="spellStart"/>
      <w:r>
        <w:rPr>
          <w:lang w:val="en-US"/>
        </w:rPr>
        <w:t>CoP</w:t>
      </w:r>
      <w:proofErr w:type="spellEnd"/>
      <w:r>
        <w:rPr>
          <w:lang w:val="en-US"/>
        </w:rPr>
        <w:t xml:space="preserve"> para 12.7 &amp; 12.8</w:t>
      </w:r>
    </w:p>
  </w:footnote>
  <w:footnote w:id="67">
    <w:p w14:paraId="3908D01B" w14:textId="77777777" w:rsidR="008E7D58" w:rsidRPr="00BF1AAC" w:rsidRDefault="008E7D58" w:rsidP="0086465E">
      <w:pPr>
        <w:pStyle w:val="FootnoteText"/>
        <w:rPr>
          <w:lang w:val="en-US"/>
        </w:rPr>
      </w:pPr>
      <w:r>
        <w:rPr>
          <w:rStyle w:val="FootnoteReference"/>
        </w:rPr>
        <w:footnoteRef/>
      </w:r>
      <w:r>
        <w:t xml:space="preserve"> </w:t>
      </w:r>
      <w:r>
        <w:rPr>
          <w:i/>
          <w:lang w:val="en-US"/>
        </w:rPr>
        <w:t xml:space="preserve">‘Design of Buildings and their Approaches to Meet the Needs of Disabled People’, </w:t>
      </w:r>
      <w:r>
        <w:rPr>
          <w:lang w:val="en-US"/>
        </w:rPr>
        <w:t>British Standard 8300:20001 – Code of Practice;</w:t>
      </w:r>
    </w:p>
  </w:footnote>
  <w:footnote w:id="68">
    <w:p w14:paraId="22247A72" w14:textId="77777777" w:rsidR="008E7D58" w:rsidRPr="003725CD" w:rsidRDefault="008E7D58" w:rsidP="0086465E">
      <w:pPr>
        <w:pStyle w:val="FootnoteText"/>
        <w:rPr>
          <w:lang w:val="en-US"/>
        </w:rPr>
      </w:pPr>
      <w:r>
        <w:rPr>
          <w:rStyle w:val="FootnoteReference"/>
        </w:rPr>
        <w:footnoteRef/>
      </w:r>
      <w:r>
        <w:t xml:space="preserve"> </w:t>
      </w:r>
      <w:r>
        <w:rPr>
          <w:lang w:val="en-US"/>
        </w:rPr>
        <w:t>DDA Code of Practice</w:t>
      </w:r>
    </w:p>
  </w:footnote>
  <w:footnote w:id="69">
    <w:p w14:paraId="6C7A2AB3" w14:textId="77777777" w:rsidR="008E7D58" w:rsidRPr="003725CD" w:rsidRDefault="008E7D58" w:rsidP="0086465E">
      <w:pPr>
        <w:pStyle w:val="FootnoteText"/>
        <w:rPr>
          <w:lang w:val="en-US"/>
        </w:rPr>
      </w:pPr>
      <w:r>
        <w:rPr>
          <w:rStyle w:val="FootnoteReference"/>
        </w:rPr>
        <w:footnoteRef/>
      </w:r>
      <w:r>
        <w:t xml:space="preserve"> </w:t>
      </w:r>
      <w:r>
        <w:rPr>
          <w:lang w:val="en-US"/>
        </w:rPr>
        <w:t>S18B (3)</w:t>
      </w:r>
    </w:p>
  </w:footnote>
  <w:footnote w:id="70">
    <w:p w14:paraId="25C4F337" w14:textId="77777777" w:rsidR="008E7D58" w:rsidRPr="00A12C7C" w:rsidRDefault="008E7D58" w:rsidP="0086465E">
      <w:pPr>
        <w:pStyle w:val="FootnoteText"/>
        <w:rPr>
          <w:lang w:val="en-US"/>
        </w:rPr>
      </w:pPr>
      <w:r>
        <w:rPr>
          <w:rStyle w:val="FootnoteReference"/>
        </w:rPr>
        <w:footnoteRef/>
      </w:r>
      <w:r>
        <w:t xml:space="preserve"> </w:t>
      </w:r>
      <w:r>
        <w:rPr>
          <w:lang w:val="en-US"/>
        </w:rPr>
        <w:t>S18A DDA</w:t>
      </w:r>
    </w:p>
  </w:footnote>
  <w:footnote w:id="71">
    <w:p w14:paraId="0FB344E6" w14:textId="77777777" w:rsidR="008E7D58" w:rsidRPr="00A12C7C" w:rsidRDefault="008E7D58" w:rsidP="0086465E">
      <w:pPr>
        <w:pStyle w:val="FootnoteText"/>
        <w:rPr>
          <w:lang w:val="en-US"/>
        </w:rPr>
      </w:pPr>
      <w:r>
        <w:rPr>
          <w:rStyle w:val="FootnoteReference"/>
        </w:rPr>
        <w:footnoteRef/>
      </w:r>
      <w:r>
        <w:t xml:space="preserve"> </w:t>
      </w:r>
      <w:r>
        <w:rPr>
          <w:lang w:val="en-US"/>
        </w:rPr>
        <w:t>S18A (2)(c) and (d)</w:t>
      </w:r>
    </w:p>
  </w:footnote>
  <w:footnote w:id="72">
    <w:p w14:paraId="6B66DCB5" w14:textId="77777777" w:rsidR="008E7D58" w:rsidRPr="00CE7B68" w:rsidRDefault="008E7D58" w:rsidP="0086465E">
      <w:pPr>
        <w:pStyle w:val="FootnoteText"/>
        <w:rPr>
          <w:lang w:val="en-US"/>
        </w:rPr>
      </w:pPr>
      <w:r>
        <w:rPr>
          <w:rStyle w:val="FootnoteReference"/>
        </w:rPr>
        <w:footnoteRef/>
      </w:r>
      <w:r>
        <w:t xml:space="preserve"> </w:t>
      </w:r>
      <w:r>
        <w:rPr>
          <w:lang w:val="en-US"/>
        </w:rPr>
        <w:t>S31(1) Equality Act 2010</w:t>
      </w:r>
    </w:p>
  </w:footnote>
  <w:footnote w:id="73">
    <w:p w14:paraId="642DEB96" w14:textId="77777777" w:rsidR="008E7D58" w:rsidRPr="00CE7B68" w:rsidRDefault="008E7D58" w:rsidP="0086465E">
      <w:pPr>
        <w:pStyle w:val="FootnoteText"/>
      </w:pPr>
      <w:r>
        <w:rPr>
          <w:rStyle w:val="FootnoteReference"/>
        </w:rPr>
        <w:footnoteRef/>
      </w:r>
      <w:r>
        <w:t xml:space="preserve"> S89(1) Equality Act 2010</w:t>
      </w:r>
    </w:p>
  </w:footnote>
  <w:footnote w:id="74">
    <w:p w14:paraId="50B3BF9E" w14:textId="77777777" w:rsidR="008E7D58" w:rsidRPr="00CE7B68" w:rsidRDefault="008E7D58" w:rsidP="0086465E">
      <w:pPr>
        <w:pStyle w:val="FootnoteText"/>
        <w:rPr>
          <w:lang w:val="en-US"/>
        </w:rPr>
      </w:pPr>
      <w:r>
        <w:rPr>
          <w:rStyle w:val="FootnoteReference"/>
        </w:rPr>
        <w:footnoteRef/>
      </w:r>
      <w:r>
        <w:t xml:space="preserve"> </w:t>
      </w:r>
      <w:r>
        <w:rPr>
          <w:lang w:val="en-US"/>
        </w:rPr>
        <w:t>S107(1) Equality Act 2010</w:t>
      </w:r>
    </w:p>
  </w:footnote>
  <w:footnote w:id="75">
    <w:p w14:paraId="1ACB0058" w14:textId="5B925783" w:rsidR="008E7D58" w:rsidRPr="00043DDB" w:rsidRDefault="008E7D58" w:rsidP="0086465E">
      <w:pPr>
        <w:widowControl w:val="0"/>
        <w:autoSpaceDE w:val="0"/>
        <w:autoSpaceDN w:val="0"/>
        <w:adjustRightInd w:val="0"/>
        <w:rPr>
          <w:rFonts w:ascii="Times New Roman" w:hAnsi="Times New Roman" w:cs="Times New Roman"/>
          <w:lang w:val="en-US"/>
        </w:rPr>
      </w:pPr>
      <w:r>
        <w:rPr>
          <w:rStyle w:val="FootnoteReference"/>
        </w:rPr>
        <w:footnoteRef/>
      </w:r>
      <w:r>
        <w:t xml:space="preserve"> See Lawson, A </w:t>
      </w:r>
      <w:r>
        <w:rPr>
          <w:rFonts w:ascii="Times New Roman" w:hAnsi="Times New Roman" w:cs="Times New Roman"/>
          <w:lang w:val="en-US"/>
        </w:rPr>
        <w:t>(2011)</w:t>
      </w:r>
      <w:r>
        <w:t>,</w:t>
      </w:r>
      <w:r w:rsidRPr="00593176">
        <w:rPr>
          <w:rFonts w:ascii="Times New Roman" w:hAnsi="Times New Roman" w:cs="Times New Roman"/>
          <w:lang w:val="en-US"/>
        </w:rPr>
        <w:t xml:space="preserve"> </w:t>
      </w:r>
      <w:r w:rsidRPr="00043DDB">
        <w:rPr>
          <w:i/>
        </w:rPr>
        <w:t>‘</w:t>
      </w:r>
      <w:r w:rsidRPr="00043DDB">
        <w:rPr>
          <w:rFonts w:ascii="Times New Roman" w:hAnsi="Times New Roman" w:cs="Times New Roman"/>
          <w:i/>
          <w:lang w:val="en-US"/>
        </w:rPr>
        <w:t>Disability and employment in the Equality Act 2010: opportunities seized, lost and generated’</w:t>
      </w:r>
      <w:r>
        <w:rPr>
          <w:rFonts w:ascii="Times New Roman" w:hAnsi="Times New Roman" w:cs="Times New Roman"/>
          <w:lang w:val="en-US"/>
        </w:rPr>
        <w:t xml:space="preserve">, Industrial Law Journal </w:t>
      </w:r>
      <w:r w:rsidRPr="00A40CA3">
        <w:rPr>
          <w:rFonts w:ascii="Times New Roman" w:hAnsi="Times New Roman" w:cs="Times New Roman"/>
          <w:lang w:val="en-US"/>
        </w:rPr>
        <w:t>40 (4): 359-383.</w:t>
      </w:r>
      <w:r>
        <w:rPr>
          <w:rFonts w:ascii="Times New Roman" w:hAnsi="Times New Roman" w:cs="Times New Roman"/>
          <w:lang w:val="en-US"/>
        </w:rPr>
        <w:t>;</w:t>
      </w:r>
    </w:p>
  </w:footnote>
  <w:footnote w:id="76">
    <w:p w14:paraId="78D8F1AD" w14:textId="77777777" w:rsidR="008E7D58" w:rsidRPr="003A084A" w:rsidRDefault="008E7D58" w:rsidP="0086465E">
      <w:pPr>
        <w:pStyle w:val="FootnoteText"/>
        <w:rPr>
          <w:lang w:val="en-US"/>
        </w:rPr>
      </w:pPr>
      <w:r>
        <w:rPr>
          <w:rStyle w:val="FootnoteReference"/>
        </w:rPr>
        <w:footnoteRef/>
      </w:r>
      <w:r>
        <w:t xml:space="preserve"> See </w:t>
      </w:r>
      <w:r>
        <w:rPr>
          <w:lang w:val="en-US"/>
        </w:rPr>
        <w:t xml:space="preserve">Department of Education and Employment, </w:t>
      </w:r>
      <w:r>
        <w:rPr>
          <w:i/>
          <w:lang w:val="en-US"/>
        </w:rPr>
        <w:t xml:space="preserve">‘DDA 1995 Code of Practice: Rights of Access – Services to the Public, Public Authority Functions, Private Clubs and Premises’ </w:t>
      </w:r>
      <w:r>
        <w:rPr>
          <w:lang w:val="en-US"/>
        </w:rPr>
        <w:t>(London, Stationery Office, 1999);</w:t>
      </w:r>
    </w:p>
  </w:footnote>
  <w:footnote w:id="77">
    <w:p w14:paraId="35BC8584" w14:textId="77777777" w:rsidR="008E7D58" w:rsidRPr="00080FD1" w:rsidRDefault="008E7D58" w:rsidP="0086465E">
      <w:pPr>
        <w:pStyle w:val="FootnoteText"/>
        <w:rPr>
          <w:lang w:val="en-US"/>
        </w:rPr>
      </w:pPr>
      <w:r>
        <w:rPr>
          <w:rStyle w:val="FootnoteReference"/>
        </w:rPr>
        <w:footnoteRef/>
      </w:r>
      <w:r>
        <w:t xml:space="preserve"> </w:t>
      </w:r>
      <w:r>
        <w:rPr>
          <w:lang w:val="en-US"/>
        </w:rPr>
        <w:t xml:space="preserve">Roads v Central Trains [2004] EWCA </w:t>
      </w:r>
      <w:proofErr w:type="spellStart"/>
      <w:r>
        <w:rPr>
          <w:lang w:val="en-US"/>
        </w:rPr>
        <w:t>Civ</w:t>
      </w:r>
      <w:proofErr w:type="spellEnd"/>
      <w:r>
        <w:rPr>
          <w:lang w:val="en-US"/>
        </w:rPr>
        <w:t xml:space="preserve"> 1540 per Sedley LJ at [11];</w:t>
      </w:r>
    </w:p>
  </w:footnote>
  <w:footnote w:id="78">
    <w:p w14:paraId="1C5AE29C" w14:textId="77A70BEB" w:rsidR="008E7D58" w:rsidRPr="001F3241" w:rsidRDefault="008E7D58" w:rsidP="0086465E">
      <w:pPr>
        <w:pStyle w:val="FootnoteText"/>
        <w:rPr>
          <w:lang w:val="en-US"/>
        </w:rPr>
      </w:pPr>
      <w:r>
        <w:rPr>
          <w:rStyle w:val="FootnoteReference"/>
        </w:rPr>
        <w:footnoteRef/>
      </w:r>
      <w:r>
        <w:t xml:space="preserve"> </w:t>
      </w:r>
      <w:r>
        <w:rPr>
          <w:lang w:val="en-US"/>
        </w:rPr>
        <w:t>Ibid at [26].</w:t>
      </w:r>
    </w:p>
  </w:footnote>
  <w:footnote w:id="79">
    <w:p w14:paraId="65B4435A" w14:textId="77777777" w:rsidR="008E7D58" w:rsidRPr="00080FD1" w:rsidRDefault="008E7D58" w:rsidP="0086465E">
      <w:pPr>
        <w:pStyle w:val="FootnoteText"/>
        <w:rPr>
          <w:lang w:val="en-US"/>
        </w:rPr>
      </w:pPr>
      <w:r>
        <w:rPr>
          <w:rStyle w:val="FootnoteReference"/>
        </w:rPr>
        <w:footnoteRef/>
      </w:r>
      <w:r>
        <w:t xml:space="preserve"> Ibid</w:t>
      </w:r>
    </w:p>
  </w:footnote>
  <w:footnote w:id="80">
    <w:p w14:paraId="4F88B4E0" w14:textId="17DC5C53" w:rsidR="008E7D58" w:rsidRPr="002635B4" w:rsidRDefault="008E7D58" w:rsidP="0086465E">
      <w:pPr>
        <w:pStyle w:val="FootnoteText"/>
        <w:rPr>
          <w:lang w:val="en-US"/>
        </w:rPr>
      </w:pPr>
      <w:r>
        <w:rPr>
          <w:rStyle w:val="FootnoteReference"/>
        </w:rPr>
        <w:footnoteRef/>
      </w:r>
      <w:r>
        <w:t xml:space="preserve"> </w:t>
      </w:r>
      <w:r w:rsidRPr="00593176">
        <w:rPr>
          <w:lang w:val="en-US"/>
        </w:rPr>
        <w:t xml:space="preserve">Lawson, A. (2008). </w:t>
      </w:r>
      <w:r w:rsidRPr="00593176">
        <w:rPr>
          <w:i/>
          <w:lang w:val="en-US"/>
        </w:rPr>
        <w:t>Disability and Equality Law in Britain: The Role of Reasonable Adjustments</w:t>
      </w:r>
      <w:r w:rsidRPr="00593176">
        <w:rPr>
          <w:lang w:val="en-US"/>
        </w:rPr>
        <w:t>. Oxford: Hart Publishing.</w:t>
      </w:r>
      <w:r>
        <w:rPr>
          <w:lang w:val="en-US"/>
        </w:rPr>
        <w:t>p98</w:t>
      </w:r>
    </w:p>
  </w:footnote>
  <w:footnote w:id="81">
    <w:p w14:paraId="4A8FE5C4" w14:textId="77777777" w:rsidR="008E7D58" w:rsidRPr="002635B4" w:rsidRDefault="008E7D58" w:rsidP="0086465E">
      <w:pPr>
        <w:pStyle w:val="FootnoteText"/>
        <w:rPr>
          <w:lang w:val="en-US"/>
        </w:rPr>
      </w:pPr>
      <w:r>
        <w:rPr>
          <w:rStyle w:val="FootnoteReference"/>
        </w:rPr>
        <w:footnoteRef/>
      </w:r>
      <w:r>
        <w:t xml:space="preserve"> </w:t>
      </w:r>
      <w:r>
        <w:rPr>
          <w:lang w:val="en-US"/>
        </w:rPr>
        <w:t>No.77</w:t>
      </w:r>
    </w:p>
  </w:footnote>
  <w:footnote w:id="82">
    <w:p w14:paraId="0D6E7BBB" w14:textId="77777777" w:rsidR="008E7D58" w:rsidRPr="002635B4" w:rsidRDefault="008E7D58" w:rsidP="0086465E">
      <w:pPr>
        <w:pStyle w:val="FootnoteText"/>
        <w:rPr>
          <w:lang w:val="en-US"/>
        </w:rPr>
      </w:pPr>
      <w:r>
        <w:rPr>
          <w:rStyle w:val="FootnoteReference"/>
        </w:rPr>
        <w:footnoteRef/>
      </w:r>
      <w:r>
        <w:t xml:space="preserve"> </w:t>
      </w:r>
      <w:r>
        <w:rPr>
          <w:lang w:val="en-US"/>
        </w:rPr>
        <w:t>A leading academic on reasonable adjustments from the University of Leeds;</w:t>
      </w:r>
    </w:p>
  </w:footnote>
  <w:footnote w:id="83">
    <w:p w14:paraId="628D5B25" w14:textId="77777777" w:rsidR="008E7D58" w:rsidRPr="00176671" w:rsidRDefault="008E7D58" w:rsidP="0086465E">
      <w:pPr>
        <w:pStyle w:val="FootnoteText"/>
        <w:rPr>
          <w:lang w:val="en-US"/>
        </w:rPr>
      </w:pPr>
      <w:r>
        <w:rPr>
          <w:rStyle w:val="FootnoteReference"/>
        </w:rPr>
        <w:footnoteRef/>
      </w:r>
      <w:r>
        <w:t xml:space="preserve"> </w:t>
      </w:r>
      <w:r>
        <w:rPr>
          <w:lang w:val="en-US"/>
        </w:rPr>
        <w:t>No.79</w:t>
      </w:r>
    </w:p>
  </w:footnote>
  <w:footnote w:id="84">
    <w:p w14:paraId="63EE8CB5" w14:textId="77777777" w:rsidR="008E7D58" w:rsidRPr="00176671" w:rsidRDefault="008E7D58" w:rsidP="0086465E">
      <w:pPr>
        <w:pStyle w:val="FootnoteText"/>
        <w:rPr>
          <w:lang w:val="en-US"/>
        </w:rPr>
      </w:pPr>
      <w:r>
        <w:rPr>
          <w:rStyle w:val="FootnoteReference"/>
        </w:rPr>
        <w:footnoteRef/>
      </w:r>
      <w:r>
        <w:t xml:space="preserve"> </w:t>
      </w:r>
      <w:r>
        <w:rPr>
          <w:lang w:val="en-US"/>
        </w:rPr>
        <w:t>Ibid</w:t>
      </w:r>
    </w:p>
  </w:footnote>
  <w:footnote w:id="85">
    <w:p w14:paraId="5198D5AB" w14:textId="77777777" w:rsidR="008E7D58" w:rsidRPr="00F53CA9" w:rsidRDefault="008E7D58" w:rsidP="0086465E">
      <w:pPr>
        <w:pStyle w:val="FootnoteText"/>
        <w:rPr>
          <w:lang w:val="en-US"/>
        </w:rPr>
      </w:pPr>
      <w:r>
        <w:rPr>
          <w:rStyle w:val="FootnoteReference"/>
        </w:rPr>
        <w:footnoteRef/>
      </w:r>
      <w:r>
        <w:t xml:space="preserve"> </w:t>
      </w:r>
      <w:r>
        <w:rPr>
          <w:lang w:val="en-US"/>
        </w:rPr>
        <w:t>Ibid</w:t>
      </w:r>
    </w:p>
  </w:footnote>
  <w:footnote w:id="86">
    <w:p w14:paraId="6F49D9C2" w14:textId="3DDB9E33" w:rsidR="008E7D58" w:rsidRPr="00A0719D" w:rsidRDefault="008E7D58" w:rsidP="0086465E">
      <w:pPr>
        <w:pStyle w:val="FootnoteText"/>
        <w:rPr>
          <w:lang w:val="en-US"/>
        </w:rPr>
      </w:pPr>
      <w:r>
        <w:rPr>
          <w:rStyle w:val="FootnoteReference"/>
        </w:rPr>
        <w:footnoteRef/>
      </w:r>
      <w:r>
        <w:t xml:space="preserve"> </w:t>
      </w:r>
      <w:r w:rsidRPr="00593176">
        <w:rPr>
          <w:lang w:val="en-US"/>
        </w:rPr>
        <w:t xml:space="preserve">Lawson, A. (2008). </w:t>
      </w:r>
      <w:r w:rsidRPr="00593176">
        <w:rPr>
          <w:i/>
          <w:lang w:val="en-US"/>
        </w:rPr>
        <w:t>Disability and Equality Law in Britain: The Role of Reasonable Adjustments.</w:t>
      </w:r>
      <w:r>
        <w:rPr>
          <w:lang w:val="en-US"/>
        </w:rPr>
        <w:t xml:space="preserve"> Oxford: Hart Publishing, p109</w:t>
      </w:r>
    </w:p>
  </w:footnote>
  <w:footnote w:id="87">
    <w:p w14:paraId="7F33E31B" w14:textId="77777777" w:rsidR="008E7D58" w:rsidRPr="00D67588" w:rsidRDefault="008E7D58" w:rsidP="0086465E">
      <w:pPr>
        <w:pStyle w:val="FootnoteText"/>
        <w:rPr>
          <w:lang w:val="en-US"/>
        </w:rPr>
      </w:pPr>
      <w:r>
        <w:rPr>
          <w:rStyle w:val="FootnoteReference"/>
        </w:rPr>
        <w:footnoteRef/>
      </w:r>
      <w:r>
        <w:t xml:space="preserve"> </w:t>
      </w:r>
      <w:r>
        <w:rPr>
          <w:lang w:val="en-US"/>
        </w:rPr>
        <w:t xml:space="preserve">DRC, </w:t>
      </w:r>
      <w:r>
        <w:rPr>
          <w:i/>
          <w:lang w:val="en-US"/>
        </w:rPr>
        <w:t xml:space="preserve">‘DDA 1995 Code of Practice: Rights of Access – Services to the Public, Public Authority Functions, Private Clubs and Premises’ </w:t>
      </w:r>
      <w:r>
        <w:rPr>
          <w:lang w:val="en-US"/>
        </w:rPr>
        <w:t>para 6.22</w:t>
      </w:r>
      <w:r>
        <w:rPr>
          <w:i/>
          <w:lang w:val="en-US"/>
        </w:rPr>
        <w:t xml:space="preserve"> </w:t>
      </w:r>
      <w:r>
        <w:rPr>
          <w:lang w:val="en-US"/>
        </w:rPr>
        <w:t>;</w:t>
      </w:r>
    </w:p>
  </w:footnote>
  <w:footnote w:id="88">
    <w:p w14:paraId="049C77ED" w14:textId="77777777" w:rsidR="008E7D58" w:rsidRPr="002E61A3" w:rsidRDefault="008E7D58" w:rsidP="0086465E">
      <w:pPr>
        <w:pStyle w:val="FootnoteText"/>
        <w:rPr>
          <w:lang w:val="en-US"/>
        </w:rPr>
      </w:pPr>
      <w:r>
        <w:rPr>
          <w:rStyle w:val="FootnoteReference"/>
        </w:rPr>
        <w:footnoteRef/>
      </w:r>
      <w:r>
        <w:t xml:space="preserve"> </w:t>
      </w:r>
      <w:r>
        <w:rPr>
          <w:lang w:val="en-US"/>
        </w:rPr>
        <w:t>Sched 2(5)(a) and (b) Equality Act 2010</w:t>
      </w:r>
    </w:p>
  </w:footnote>
  <w:footnote w:id="89">
    <w:p w14:paraId="01B16EFB" w14:textId="0D58A3D5" w:rsidR="008E7D58" w:rsidRPr="002829C5" w:rsidRDefault="008E7D58" w:rsidP="0086465E">
      <w:pPr>
        <w:pStyle w:val="FootnoteText"/>
        <w:rPr>
          <w:lang w:val="en-US"/>
        </w:rPr>
      </w:pPr>
      <w:r>
        <w:rPr>
          <w:rStyle w:val="FootnoteReference"/>
        </w:rPr>
        <w:footnoteRef/>
      </w:r>
      <w:r>
        <w:t xml:space="preserve"> DRC, </w:t>
      </w:r>
      <w:r w:rsidRPr="00A40CA3">
        <w:rPr>
          <w:i/>
          <w:lang w:val="en-US"/>
        </w:rPr>
        <w:t>DDA Code of Practice for School</w:t>
      </w:r>
      <w:r>
        <w:rPr>
          <w:lang w:val="en-US"/>
        </w:rPr>
        <w:t>, Part 4 para 6.29</w:t>
      </w:r>
    </w:p>
  </w:footnote>
  <w:footnote w:id="90">
    <w:p w14:paraId="476E5D2C" w14:textId="087D151A" w:rsidR="008E7D58" w:rsidRPr="00774CE5" w:rsidRDefault="008E7D58">
      <w:pPr>
        <w:pStyle w:val="FootnoteText"/>
        <w:rPr>
          <w:lang w:val="en-US"/>
        </w:rPr>
      </w:pPr>
      <w:r>
        <w:rPr>
          <w:rStyle w:val="FootnoteReference"/>
        </w:rPr>
        <w:footnoteRef/>
      </w:r>
      <w:r>
        <w:t xml:space="preserve"> </w:t>
      </w:r>
      <w:r>
        <w:rPr>
          <w:lang w:val="en-US"/>
        </w:rPr>
        <w:t>S.15(6) Equality Act 2010</w:t>
      </w:r>
    </w:p>
  </w:footnote>
  <w:footnote w:id="91">
    <w:p w14:paraId="21B41B06" w14:textId="5080B54F" w:rsidR="008E7D58" w:rsidRPr="004C3F5D" w:rsidRDefault="008E7D58">
      <w:pPr>
        <w:pStyle w:val="FootnoteText"/>
        <w:rPr>
          <w:lang w:val="en-US"/>
        </w:rPr>
      </w:pPr>
      <w:r>
        <w:rPr>
          <w:rStyle w:val="FootnoteReference"/>
        </w:rPr>
        <w:footnoteRef/>
      </w:r>
      <w:r>
        <w:t xml:space="preserve"> </w:t>
      </w:r>
      <w:r>
        <w:rPr>
          <w:lang w:val="en-US"/>
        </w:rPr>
        <w:t>Schedule 15, para (8) Equality Act 2010</w:t>
      </w:r>
    </w:p>
  </w:footnote>
  <w:footnote w:id="92">
    <w:p w14:paraId="0EFB4949" w14:textId="77777777" w:rsidR="008E7D58" w:rsidRPr="00010355" w:rsidRDefault="008E7D58" w:rsidP="0086465E">
      <w:pPr>
        <w:pStyle w:val="FootnoteText"/>
        <w:rPr>
          <w:lang w:val="en-US"/>
        </w:rPr>
      </w:pPr>
      <w:r>
        <w:rPr>
          <w:rStyle w:val="FootnoteReference"/>
        </w:rPr>
        <w:footnoteRef/>
      </w:r>
      <w:r>
        <w:t xml:space="preserve"> </w:t>
      </w:r>
      <w:r>
        <w:rPr>
          <w:lang w:val="en-US"/>
        </w:rPr>
        <w:t>(SI No. 2001/3253), Document M – Access to and Use of Buildings. In Scotland, the Technical Standards.</w:t>
      </w:r>
    </w:p>
  </w:footnote>
  <w:footnote w:id="93">
    <w:p w14:paraId="59372E8B" w14:textId="56730621" w:rsidR="008E7D58" w:rsidRPr="00010355" w:rsidRDefault="008E7D58" w:rsidP="0086465E">
      <w:pPr>
        <w:pStyle w:val="FootnoteText"/>
        <w:rPr>
          <w:lang w:val="en-US"/>
        </w:rPr>
      </w:pPr>
      <w:r>
        <w:rPr>
          <w:rStyle w:val="FootnoteReference"/>
        </w:rPr>
        <w:footnoteRef/>
      </w:r>
      <w:r>
        <w:t xml:space="preserve"> </w:t>
      </w:r>
      <w:r>
        <w:rPr>
          <w:lang w:val="en-US"/>
        </w:rPr>
        <w:t xml:space="preserve">Department of Education and Employment, </w:t>
      </w:r>
      <w:r>
        <w:rPr>
          <w:i/>
          <w:lang w:val="en-US"/>
        </w:rPr>
        <w:t xml:space="preserve">‘DDA 1995 Code of Practice: Rights of Access – Services to the Public, Public Authority Functions, Private Clubs and Premises’ </w:t>
      </w:r>
      <w:r>
        <w:rPr>
          <w:lang w:val="en-US"/>
        </w:rPr>
        <w:t>(London, Stationery Office, 1999) Appendix para 23;</w:t>
      </w:r>
    </w:p>
  </w:footnote>
  <w:footnote w:id="94">
    <w:p w14:paraId="00129AF3" w14:textId="6184EA79" w:rsidR="008E7D58" w:rsidRPr="004C3F5D" w:rsidRDefault="008E7D58">
      <w:pPr>
        <w:pStyle w:val="FootnoteText"/>
        <w:rPr>
          <w:lang w:val="en-US"/>
        </w:rPr>
      </w:pPr>
      <w:r>
        <w:rPr>
          <w:rStyle w:val="FootnoteReference"/>
        </w:rPr>
        <w:footnoteRef/>
      </w:r>
      <w:r>
        <w:t xml:space="preserve"> </w:t>
      </w:r>
      <w:r>
        <w:rPr>
          <w:lang w:val="en-US"/>
        </w:rPr>
        <w:t>Schedule 15, para (7) Equality Act 2010</w:t>
      </w:r>
    </w:p>
  </w:footnote>
  <w:footnote w:id="95">
    <w:p w14:paraId="35015DBE" w14:textId="77777777" w:rsidR="008E7D58" w:rsidRPr="00990D5B" w:rsidRDefault="008E7D58" w:rsidP="0086465E">
      <w:pPr>
        <w:pStyle w:val="FootnoteText"/>
        <w:rPr>
          <w:lang w:val="en-US"/>
        </w:rPr>
      </w:pPr>
      <w:r>
        <w:rPr>
          <w:rStyle w:val="FootnoteReference"/>
        </w:rPr>
        <w:footnoteRef/>
      </w:r>
      <w:r>
        <w:t xml:space="preserve"> </w:t>
      </w:r>
      <w:r>
        <w:rPr>
          <w:lang w:val="en-US"/>
        </w:rPr>
        <w:t xml:space="preserve">Collins v Royal National Theatre Board Ltd [2004] EWCA </w:t>
      </w:r>
      <w:proofErr w:type="spellStart"/>
      <w:r>
        <w:rPr>
          <w:lang w:val="en-US"/>
        </w:rPr>
        <w:t>Civ</w:t>
      </w:r>
      <w:proofErr w:type="spellEnd"/>
      <w:r>
        <w:rPr>
          <w:lang w:val="en-US"/>
        </w:rPr>
        <w:t xml:space="preserve"> 144 considering Jones v The Post Office [2001] EWCA 558, a case on indirect discrimination that has the same </w:t>
      </w:r>
      <w:proofErr w:type="spellStart"/>
      <w:r>
        <w:rPr>
          <w:lang w:val="en-US"/>
        </w:rPr>
        <w:t>defence</w:t>
      </w:r>
      <w:proofErr w:type="spellEnd"/>
    </w:p>
  </w:footnote>
  <w:footnote w:id="96">
    <w:p w14:paraId="1076144C" w14:textId="3DC7EC67" w:rsidR="008E7D58" w:rsidRPr="00990D5B" w:rsidRDefault="008E7D58" w:rsidP="0086465E">
      <w:pPr>
        <w:pStyle w:val="FootnoteText"/>
        <w:rPr>
          <w:lang w:val="en-US"/>
        </w:rPr>
      </w:pPr>
      <w:r>
        <w:rPr>
          <w:rStyle w:val="FootnoteReference"/>
        </w:rPr>
        <w:footnoteRef/>
      </w:r>
      <w:r>
        <w:t xml:space="preserve"> </w:t>
      </w:r>
      <w:r>
        <w:rPr>
          <w:lang w:val="en-US"/>
        </w:rPr>
        <w:t>Jones  above at [21]</w:t>
      </w:r>
    </w:p>
  </w:footnote>
  <w:footnote w:id="97">
    <w:p w14:paraId="1CF56C05" w14:textId="7BCE8B6E" w:rsidR="008E7D58" w:rsidRPr="009F0E82" w:rsidRDefault="008E7D58" w:rsidP="0086465E">
      <w:pPr>
        <w:pStyle w:val="FootnoteText"/>
        <w:rPr>
          <w:lang w:val="en-US"/>
        </w:rPr>
      </w:pPr>
      <w:r>
        <w:rPr>
          <w:rStyle w:val="FootnoteReference"/>
        </w:rPr>
        <w:footnoteRef/>
      </w:r>
      <w:r>
        <w:t xml:space="preserve"> Collins above</w:t>
      </w:r>
    </w:p>
  </w:footnote>
  <w:footnote w:id="98">
    <w:p w14:paraId="1487BA56" w14:textId="5AA977EA" w:rsidR="008E7D58" w:rsidRPr="005E7CD9" w:rsidRDefault="008E7D58">
      <w:pPr>
        <w:pStyle w:val="FootnoteText"/>
        <w:rPr>
          <w:lang w:val="en-US"/>
        </w:rPr>
      </w:pPr>
      <w:r>
        <w:rPr>
          <w:rStyle w:val="FootnoteReference"/>
        </w:rPr>
        <w:footnoteRef/>
      </w:r>
      <w:r>
        <w:t xml:space="preserve"> S</w:t>
      </w:r>
      <w:r>
        <w:rPr>
          <w:lang w:val="en-US"/>
        </w:rPr>
        <w:t>21 Equality Act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EAB190"/>
    <w:multiLevelType w:val="hybridMultilevel"/>
    <w:tmpl w:val="5DED4F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8D930"/>
    <w:multiLevelType w:val="hybridMultilevel"/>
    <w:tmpl w:val="03262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82674C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7C3B3DFC"/>
    <w:multiLevelType w:val="hybridMultilevel"/>
    <w:tmpl w:val="56964CBE"/>
    <w:lvl w:ilvl="0" w:tplc="8C4E2652">
      <w:start w:val="1"/>
      <w:numFmt w:val="bullet"/>
      <w:lvlText w:val=""/>
      <w:lvlJc w:val="left"/>
      <w:pPr>
        <w:tabs>
          <w:tab w:val="num" w:pos="720"/>
        </w:tabs>
        <w:ind w:left="720" w:hanging="360"/>
      </w:pPr>
      <w:rPr>
        <w:rFonts w:ascii="Symbol" w:hAnsi="Symbol" w:hint="default"/>
      </w:rPr>
    </w:lvl>
    <w:lvl w:ilvl="1" w:tplc="7EC237E2" w:tentative="1">
      <w:start w:val="1"/>
      <w:numFmt w:val="bullet"/>
      <w:lvlText w:val=""/>
      <w:lvlJc w:val="left"/>
      <w:pPr>
        <w:tabs>
          <w:tab w:val="num" w:pos="1440"/>
        </w:tabs>
        <w:ind w:left="1440" w:hanging="360"/>
      </w:pPr>
      <w:rPr>
        <w:rFonts w:ascii="Symbol" w:hAnsi="Symbol" w:hint="default"/>
      </w:rPr>
    </w:lvl>
    <w:lvl w:ilvl="2" w:tplc="3BEC4776" w:tentative="1">
      <w:start w:val="1"/>
      <w:numFmt w:val="bullet"/>
      <w:lvlText w:val=""/>
      <w:lvlJc w:val="left"/>
      <w:pPr>
        <w:tabs>
          <w:tab w:val="num" w:pos="2160"/>
        </w:tabs>
        <w:ind w:left="2160" w:hanging="360"/>
      </w:pPr>
      <w:rPr>
        <w:rFonts w:ascii="Symbol" w:hAnsi="Symbol" w:hint="default"/>
      </w:rPr>
    </w:lvl>
    <w:lvl w:ilvl="3" w:tplc="0DB420FC" w:tentative="1">
      <w:start w:val="1"/>
      <w:numFmt w:val="bullet"/>
      <w:lvlText w:val=""/>
      <w:lvlJc w:val="left"/>
      <w:pPr>
        <w:tabs>
          <w:tab w:val="num" w:pos="2880"/>
        </w:tabs>
        <w:ind w:left="2880" w:hanging="360"/>
      </w:pPr>
      <w:rPr>
        <w:rFonts w:ascii="Symbol" w:hAnsi="Symbol" w:hint="default"/>
      </w:rPr>
    </w:lvl>
    <w:lvl w:ilvl="4" w:tplc="B4828570" w:tentative="1">
      <w:start w:val="1"/>
      <w:numFmt w:val="bullet"/>
      <w:lvlText w:val=""/>
      <w:lvlJc w:val="left"/>
      <w:pPr>
        <w:tabs>
          <w:tab w:val="num" w:pos="3600"/>
        </w:tabs>
        <w:ind w:left="3600" w:hanging="360"/>
      </w:pPr>
      <w:rPr>
        <w:rFonts w:ascii="Symbol" w:hAnsi="Symbol" w:hint="default"/>
      </w:rPr>
    </w:lvl>
    <w:lvl w:ilvl="5" w:tplc="B8CE40C2" w:tentative="1">
      <w:start w:val="1"/>
      <w:numFmt w:val="bullet"/>
      <w:lvlText w:val=""/>
      <w:lvlJc w:val="left"/>
      <w:pPr>
        <w:tabs>
          <w:tab w:val="num" w:pos="4320"/>
        </w:tabs>
        <w:ind w:left="4320" w:hanging="360"/>
      </w:pPr>
      <w:rPr>
        <w:rFonts w:ascii="Symbol" w:hAnsi="Symbol" w:hint="default"/>
      </w:rPr>
    </w:lvl>
    <w:lvl w:ilvl="6" w:tplc="CD7A6946" w:tentative="1">
      <w:start w:val="1"/>
      <w:numFmt w:val="bullet"/>
      <w:lvlText w:val=""/>
      <w:lvlJc w:val="left"/>
      <w:pPr>
        <w:tabs>
          <w:tab w:val="num" w:pos="5040"/>
        </w:tabs>
        <w:ind w:left="5040" w:hanging="360"/>
      </w:pPr>
      <w:rPr>
        <w:rFonts w:ascii="Symbol" w:hAnsi="Symbol" w:hint="default"/>
      </w:rPr>
    </w:lvl>
    <w:lvl w:ilvl="7" w:tplc="38580352" w:tentative="1">
      <w:start w:val="1"/>
      <w:numFmt w:val="bullet"/>
      <w:lvlText w:val=""/>
      <w:lvlJc w:val="left"/>
      <w:pPr>
        <w:tabs>
          <w:tab w:val="num" w:pos="5760"/>
        </w:tabs>
        <w:ind w:left="5760" w:hanging="360"/>
      </w:pPr>
      <w:rPr>
        <w:rFonts w:ascii="Symbol" w:hAnsi="Symbol" w:hint="default"/>
      </w:rPr>
    </w:lvl>
    <w:lvl w:ilvl="8" w:tplc="DFA65C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D39E1ED"/>
    <w:multiLevelType w:val="hybridMultilevel"/>
    <w:tmpl w:val="55FE15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51A"/>
    <w:rsid w:val="00010355"/>
    <w:rsid w:val="0001296F"/>
    <w:rsid w:val="0003014B"/>
    <w:rsid w:val="00043DDB"/>
    <w:rsid w:val="000540FF"/>
    <w:rsid w:val="0006560F"/>
    <w:rsid w:val="00072AB0"/>
    <w:rsid w:val="00080FD1"/>
    <w:rsid w:val="000B7C98"/>
    <w:rsid w:val="000C320A"/>
    <w:rsid w:val="000D7997"/>
    <w:rsid w:val="000E553A"/>
    <w:rsid w:val="000E7B30"/>
    <w:rsid w:val="001236B7"/>
    <w:rsid w:val="00137247"/>
    <w:rsid w:val="00150A46"/>
    <w:rsid w:val="00176671"/>
    <w:rsid w:val="00191DFB"/>
    <w:rsid w:val="00194224"/>
    <w:rsid w:val="001A018E"/>
    <w:rsid w:val="001A74FF"/>
    <w:rsid w:val="001B5ED6"/>
    <w:rsid w:val="001D2CDB"/>
    <w:rsid w:val="001D5756"/>
    <w:rsid w:val="001F3241"/>
    <w:rsid w:val="001F6EA7"/>
    <w:rsid w:val="0020695C"/>
    <w:rsid w:val="0025547A"/>
    <w:rsid w:val="002571CF"/>
    <w:rsid w:val="002635B4"/>
    <w:rsid w:val="00273B81"/>
    <w:rsid w:val="0027519C"/>
    <w:rsid w:val="00280AB5"/>
    <w:rsid w:val="002829C5"/>
    <w:rsid w:val="00284798"/>
    <w:rsid w:val="00297DC5"/>
    <w:rsid w:val="002A3F50"/>
    <w:rsid w:val="002A43B2"/>
    <w:rsid w:val="002A726D"/>
    <w:rsid w:val="002C12E5"/>
    <w:rsid w:val="002E2593"/>
    <w:rsid w:val="002E3484"/>
    <w:rsid w:val="002E61A3"/>
    <w:rsid w:val="002E6CEA"/>
    <w:rsid w:val="002F0098"/>
    <w:rsid w:val="0031524F"/>
    <w:rsid w:val="003509DB"/>
    <w:rsid w:val="00357394"/>
    <w:rsid w:val="003710EE"/>
    <w:rsid w:val="003725CD"/>
    <w:rsid w:val="00374558"/>
    <w:rsid w:val="003760B4"/>
    <w:rsid w:val="003A084A"/>
    <w:rsid w:val="003D4EC2"/>
    <w:rsid w:val="003E1714"/>
    <w:rsid w:val="003F3CB9"/>
    <w:rsid w:val="00407F64"/>
    <w:rsid w:val="004174F7"/>
    <w:rsid w:val="00421E5E"/>
    <w:rsid w:val="00426DE7"/>
    <w:rsid w:val="00435C2B"/>
    <w:rsid w:val="00442E88"/>
    <w:rsid w:val="004447B0"/>
    <w:rsid w:val="00456AAA"/>
    <w:rsid w:val="00462F42"/>
    <w:rsid w:val="00474B9F"/>
    <w:rsid w:val="00497F27"/>
    <w:rsid w:val="004A404A"/>
    <w:rsid w:val="004C3F5D"/>
    <w:rsid w:val="004E5B20"/>
    <w:rsid w:val="004F4FAB"/>
    <w:rsid w:val="004F6878"/>
    <w:rsid w:val="00520787"/>
    <w:rsid w:val="005222C6"/>
    <w:rsid w:val="00522E79"/>
    <w:rsid w:val="0054140C"/>
    <w:rsid w:val="005514EE"/>
    <w:rsid w:val="00561503"/>
    <w:rsid w:val="005657AF"/>
    <w:rsid w:val="00581420"/>
    <w:rsid w:val="005878D3"/>
    <w:rsid w:val="00593176"/>
    <w:rsid w:val="0059498F"/>
    <w:rsid w:val="005B3BF0"/>
    <w:rsid w:val="005C00C3"/>
    <w:rsid w:val="005D2718"/>
    <w:rsid w:val="005E00C4"/>
    <w:rsid w:val="005E7CD9"/>
    <w:rsid w:val="00600DCB"/>
    <w:rsid w:val="00601E4F"/>
    <w:rsid w:val="00605FD2"/>
    <w:rsid w:val="006137BD"/>
    <w:rsid w:val="00650B71"/>
    <w:rsid w:val="00664A91"/>
    <w:rsid w:val="0066593C"/>
    <w:rsid w:val="00686738"/>
    <w:rsid w:val="006C3695"/>
    <w:rsid w:val="006C4FBB"/>
    <w:rsid w:val="006D70C5"/>
    <w:rsid w:val="007013BD"/>
    <w:rsid w:val="00702844"/>
    <w:rsid w:val="00714F32"/>
    <w:rsid w:val="00720AD7"/>
    <w:rsid w:val="00731879"/>
    <w:rsid w:val="00744303"/>
    <w:rsid w:val="007642D8"/>
    <w:rsid w:val="0077105A"/>
    <w:rsid w:val="00774CE5"/>
    <w:rsid w:val="00777A80"/>
    <w:rsid w:val="007939CB"/>
    <w:rsid w:val="00793BC8"/>
    <w:rsid w:val="007A3357"/>
    <w:rsid w:val="007A4400"/>
    <w:rsid w:val="007B299D"/>
    <w:rsid w:val="007D78F9"/>
    <w:rsid w:val="007F2D79"/>
    <w:rsid w:val="00803455"/>
    <w:rsid w:val="00806446"/>
    <w:rsid w:val="00835302"/>
    <w:rsid w:val="00835C13"/>
    <w:rsid w:val="00847D45"/>
    <w:rsid w:val="00863812"/>
    <w:rsid w:val="0086465E"/>
    <w:rsid w:val="0086624F"/>
    <w:rsid w:val="008809AF"/>
    <w:rsid w:val="00880BBD"/>
    <w:rsid w:val="00882FAF"/>
    <w:rsid w:val="008851AA"/>
    <w:rsid w:val="008913CB"/>
    <w:rsid w:val="008E7D58"/>
    <w:rsid w:val="008F1299"/>
    <w:rsid w:val="00901D0A"/>
    <w:rsid w:val="00913D2B"/>
    <w:rsid w:val="00926D2B"/>
    <w:rsid w:val="00927987"/>
    <w:rsid w:val="00934670"/>
    <w:rsid w:val="00935287"/>
    <w:rsid w:val="0096022B"/>
    <w:rsid w:val="00960DAF"/>
    <w:rsid w:val="009800F1"/>
    <w:rsid w:val="00980579"/>
    <w:rsid w:val="00990D5B"/>
    <w:rsid w:val="0099436E"/>
    <w:rsid w:val="009B0C34"/>
    <w:rsid w:val="009B0F67"/>
    <w:rsid w:val="009C4052"/>
    <w:rsid w:val="009F0E82"/>
    <w:rsid w:val="00A0719D"/>
    <w:rsid w:val="00A12C7C"/>
    <w:rsid w:val="00A246FC"/>
    <w:rsid w:val="00A36171"/>
    <w:rsid w:val="00A40CA3"/>
    <w:rsid w:val="00A52BDF"/>
    <w:rsid w:val="00A67782"/>
    <w:rsid w:val="00A740ED"/>
    <w:rsid w:val="00A772FA"/>
    <w:rsid w:val="00AA551D"/>
    <w:rsid w:val="00AB4CC6"/>
    <w:rsid w:val="00AC1559"/>
    <w:rsid w:val="00AC20BB"/>
    <w:rsid w:val="00AF088B"/>
    <w:rsid w:val="00AF6D89"/>
    <w:rsid w:val="00B17D54"/>
    <w:rsid w:val="00B23F6B"/>
    <w:rsid w:val="00B27772"/>
    <w:rsid w:val="00B416C4"/>
    <w:rsid w:val="00B54ACD"/>
    <w:rsid w:val="00B66E70"/>
    <w:rsid w:val="00B7041E"/>
    <w:rsid w:val="00B71836"/>
    <w:rsid w:val="00B76600"/>
    <w:rsid w:val="00B77AE2"/>
    <w:rsid w:val="00B86790"/>
    <w:rsid w:val="00B96146"/>
    <w:rsid w:val="00BC4C57"/>
    <w:rsid w:val="00BD3B8F"/>
    <w:rsid w:val="00BD7664"/>
    <w:rsid w:val="00BF1AAC"/>
    <w:rsid w:val="00C0651E"/>
    <w:rsid w:val="00C1065D"/>
    <w:rsid w:val="00C30C82"/>
    <w:rsid w:val="00C46B24"/>
    <w:rsid w:val="00C5185D"/>
    <w:rsid w:val="00C575C6"/>
    <w:rsid w:val="00C57D1A"/>
    <w:rsid w:val="00C914FE"/>
    <w:rsid w:val="00CB4AF1"/>
    <w:rsid w:val="00CC7952"/>
    <w:rsid w:val="00CE3FCD"/>
    <w:rsid w:val="00CE5413"/>
    <w:rsid w:val="00CE7B68"/>
    <w:rsid w:val="00D07095"/>
    <w:rsid w:val="00D10036"/>
    <w:rsid w:val="00D10EF9"/>
    <w:rsid w:val="00D2145A"/>
    <w:rsid w:val="00D3094B"/>
    <w:rsid w:val="00D32E1D"/>
    <w:rsid w:val="00D4508B"/>
    <w:rsid w:val="00D64CB0"/>
    <w:rsid w:val="00D67588"/>
    <w:rsid w:val="00D72460"/>
    <w:rsid w:val="00D8590B"/>
    <w:rsid w:val="00D8776C"/>
    <w:rsid w:val="00DC53AF"/>
    <w:rsid w:val="00DE0401"/>
    <w:rsid w:val="00DE5DDE"/>
    <w:rsid w:val="00DE7340"/>
    <w:rsid w:val="00E01207"/>
    <w:rsid w:val="00E03AFD"/>
    <w:rsid w:val="00E27B68"/>
    <w:rsid w:val="00E31093"/>
    <w:rsid w:val="00E41DAC"/>
    <w:rsid w:val="00E64501"/>
    <w:rsid w:val="00E90ACD"/>
    <w:rsid w:val="00EA079C"/>
    <w:rsid w:val="00EA6CA2"/>
    <w:rsid w:val="00EB780D"/>
    <w:rsid w:val="00EB7C4F"/>
    <w:rsid w:val="00EC4481"/>
    <w:rsid w:val="00EE018C"/>
    <w:rsid w:val="00EE27FA"/>
    <w:rsid w:val="00EE6603"/>
    <w:rsid w:val="00EF54BD"/>
    <w:rsid w:val="00F0124E"/>
    <w:rsid w:val="00F242F7"/>
    <w:rsid w:val="00F310AD"/>
    <w:rsid w:val="00F4387B"/>
    <w:rsid w:val="00F50750"/>
    <w:rsid w:val="00F53CA9"/>
    <w:rsid w:val="00F667AF"/>
    <w:rsid w:val="00F6699C"/>
    <w:rsid w:val="00F823F8"/>
    <w:rsid w:val="00FA2901"/>
    <w:rsid w:val="00FA4F24"/>
    <w:rsid w:val="00FA6E4D"/>
    <w:rsid w:val="00FB351A"/>
    <w:rsid w:val="00FB3B6C"/>
    <w:rsid w:val="00FB5076"/>
    <w:rsid w:val="00FD128A"/>
    <w:rsid w:val="00FD1E4C"/>
    <w:rsid w:val="00FD35C1"/>
    <w:rsid w:val="00FD55D7"/>
    <w:rsid w:val="00FE0389"/>
    <w:rsid w:val="00FE1BDC"/>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4619C"/>
  <w14:defaultImageDpi w14:val="300"/>
  <w15:docId w15:val="{104AD0B3-EC2D-D642-8CAB-E1770D29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80AB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072AB0"/>
    <w:pPr>
      <w:keepNext/>
      <w:numPr>
        <w:numId w:val="1"/>
      </w:numPr>
      <w:contextualSpacing/>
      <w:outlineLvl w:val="0"/>
    </w:pPr>
    <w:rPr>
      <w:sz w:val="22"/>
      <w:szCs w:val="22"/>
    </w:rPr>
  </w:style>
  <w:style w:type="paragraph" w:customStyle="1" w:styleId="NoteLevel2">
    <w:name w:val="Note Level 2"/>
    <w:basedOn w:val="Normal"/>
    <w:uiPriority w:val="99"/>
    <w:semiHidden/>
    <w:unhideWhenUsed/>
    <w:rsid w:val="00072AB0"/>
    <w:pPr>
      <w:keepNext/>
      <w:numPr>
        <w:ilvl w:val="1"/>
        <w:numId w:val="1"/>
      </w:numPr>
      <w:contextualSpacing/>
      <w:outlineLvl w:val="1"/>
    </w:pPr>
    <w:rPr>
      <w:sz w:val="22"/>
      <w:szCs w:val="22"/>
    </w:rPr>
  </w:style>
  <w:style w:type="paragraph" w:customStyle="1" w:styleId="NoteLevel3">
    <w:name w:val="Note Level 3"/>
    <w:basedOn w:val="Normal"/>
    <w:uiPriority w:val="99"/>
    <w:semiHidden/>
    <w:unhideWhenUsed/>
    <w:rsid w:val="00072AB0"/>
    <w:pPr>
      <w:keepNext/>
      <w:numPr>
        <w:ilvl w:val="2"/>
        <w:numId w:val="1"/>
      </w:numPr>
      <w:contextualSpacing/>
      <w:outlineLvl w:val="2"/>
    </w:pPr>
    <w:rPr>
      <w:sz w:val="22"/>
      <w:szCs w:val="22"/>
    </w:rPr>
  </w:style>
  <w:style w:type="paragraph" w:customStyle="1" w:styleId="NoteLevel4">
    <w:name w:val="Note Level 4"/>
    <w:basedOn w:val="Normal"/>
    <w:uiPriority w:val="99"/>
    <w:semiHidden/>
    <w:unhideWhenUsed/>
    <w:rsid w:val="00072AB0"/>
    <w:pPr>
      <w:keepNext/>
      <w:numPr>
        <w:ilvl w:val="3"/>
        <w:numId w:val="1"/>
      </w:numPr>
      <w:contextualSpacing/>
      <w:outlineLvl w:val="3"/>
    </w:pPr>
    <w:rPr>
      <w:sz w:val="22"/>
      <w:szCs w:val="22"/>
    </w:rPr>
  </w:style>
  <w:style w:type="paragraph" w:customStyle="1" w:styleId="NoteLevel5">
    <w:name w:val="Note Level 5"/>
    <w:basedOn w:val="Normal"/>
    <w:uiPriority w:val="99"/>
    <w:semiHidden/>
    <w:unhideWhenUsed/>
    <w:rsid w:val="00072AB0"/>
    <w:pPr>
      <w:keepNext/>
      <w:numPr>
        <w:ilvl w:val="4"/>
        <w:numId w:val="1"/>
      </w:numPr>
      <w:contextualSpacing/>
      <w:outlineLvl w:val="4"/>
    </w:pPr>
    <w:rPr>
      <w:sz w:val="22"/>
      <w:szCs w:val="22"/>
    </w:rPr>
  </w:style>
  <w:style w:type="paragraph" w:customStyle="1" w:styleId="NoteLevel6">
    <w:name w:val="Note Level 6"/>
    <w:basedOn w:val="Normal"/>
    <w:uiPriority w:val="99"/>
    <w:semiHidden/>
    <w:unhideWhenUsed/>
    <w:rsid w:val="00072AB0"/>
    <w:pPr>
      <w:keepNext/>
      <w:numPr>
        <w:ilvl w:val="5"/>
        <w:numId w:val="1"/>
      </w:numPr>
      <w:contextualSpacing/>
      <w:outlineLvl w:val="5"/>
    </w:pPr>
    <w:rPr>
      <w:sz w:val="22"/>
      <w:szCs w:val="22"/>
    </w:rPr>
  </w:style>
  <w:style w:type="paragraph" w:customStyle="1" w:styleId="NoteLevel7">
    <w:name w:val="Note Level 7"/>
    <w:basedOn w:val="Normal"/>
    <w:uiPriority w:val="99"/>
    <w:semiHidden/>
    <w:unhideWhenUsed/>
    <w:rsid w:val="00072AB0"/>
    <w:pPr>
      <w:keepNext/>
      <w:numPr>
        <w:ilvl w:val="6"/>
        <w:numId w:val="1"/>
      </w:numPr>
      <w:contextualSpacing/>
      <w:outlineLvl w:val="6"/>
    </w:pPr>
    <w:rPr>
      <w:sz w:val="22"/>
      <w:szCs w:val="22"/>
    </w:rPr>
  </w:style>
  <w:style w:type="paragraph" w:customStyle="1" w:styleId="NoteLevel8">
    <w:name w:val="Note Level 8"/>
    <w:basedOn w:val="Normal"/>
    <w:uiPriority w:val="99"/>
    <w:semiHidden/>
    <w:unhideWhenUsed/>
    <w:rsid w:val="00072AB0"/>
    <w:pPr>
      <w:keepNext/>
      <w:numPr>
        <w:ilvl w:val="7"/>
        <w:numId w:val="1"/>
      </w:numPr>
      <w:contextualSpacing/>
      <w:outlineLvl w:val="7"/>
    </w:pPr>
    <w:rPr>
      <w:sz w:val="22"/>
      <w:szCs w:val="22"/>
    </w:rPr>
  </w:style>
  <w:style w:type="paragraph" w:customStyle="1" w:styleId="NoteLevel9">
    <w:name w:val="Note Level 9"/>
    <w:basedOn w:val="Normal"/>
    <w:uiPriority w:val="99"/>
    <w:semiHidden/>
    <w:unhideWhenUsed/>
    <w:rsid w:val="00072AB0"/>
    <w:pPr>
      <w:keepNext/>
      <w:numPr>
        <w:ilvl w:val="8"/>
        <w:numId w:val="1"/>
      </w:numPr>
      <w:contextualSpacing/>
      <w:outlineLvl w:val="8"/>
    </w:pPr>
    <w:rPr>
      <w:sz w:val="22"/>
      <w:szCs w:val="22"/>
    </w:rPr>
  </w:style>
  <w:style w:type="character" w:customStyle="1" w:styleId="Heading1Char">
    <w:name w:val="Heading 1 Char"/>
    <w:basedOn w:val="DefaultParagraphFont"/>
    <w:link w:val="Heading1"/>
    <w:uiPriority w:val="9"/>
    <w:rsid w:val="00280AB5"/>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280A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AB5"/>
    <w:rPr>
      <w:rFonts w:ascii="Lucida Grande" w:hAnsi="Lucida Grande" w:cs="Lucida Grande"/>
      <w:sz w:val="18"/>
      <w:szCs w:val="18"/>
      <w:lang w:val="en-GB"/>
    </w:rPr>
  </w:style>
  <w:style w:type="paragraph" w:styleId="EndnoteText">
    <w:name w:val="endnote text"/>
    <w:basedOn w:val="Normal"/>
    <w:link w:val="EndnoteTextChar"/>
    <w:uiPriority w:val="99"/>
    <w:unhideWhenUsed/>
    <w:rsid w:val="00280AB5"/>
  </w:style>
  <w:style w:type="character" w:customStyle="1" w:styleId="EndnoteTextChar">
    <w:name w:val="Endnote Text Char"/>
    <w:basedOn w:val="DefaultParagraphFont"/>
    <w:link w:val="EndnoteText"/>
    <w:uiPriority w:val="99"/>
    <w:rsid w:val="00280AB5"/>
    <w:rPr>
      <w:lang w:val="en-GB"/>
    </w:rPr>
  </w:style>
  <w:style w:type="character" w:styleId="EndnoteReference">
    <w:name w:val="endnote reference"/>
    <w:basedOn w:val="DefaultParagraphFont"/>
    <w:uiPriority w:val="99"/>
    <w:unhideWhenUsed/>
    <w:rsid w:val="00280AB5"/>
    <w:rPr>
      <w:vertAlign w:val="superscript"/>
    </w:rPr>
  </w:style>
  <w:style w:type="paragraph" w:styleId="FootnoteText">
    <w:name w:val="footnote text"/>
    <w:basedOn w:val="Normal"/>
    <w:link w:val="FootnoteTextChar"/>
    <w:uiPriority w:val="99"/>
    <w:unhideWhenUsed/>
    <w:rsid w:val="00284798"/>
  </w:style>
  <w:style w:type="character" w:customStyle="1" w:styleId="FootnoteTextChar">
    <w:name w:val="Footnote Text Char"/>
    <w:basedOn w:val="DefaultParagraphFont"/>
    <w:link w:val="FootnoteText"/>
    <w:uiPriority w:val="99"/>
    <w:rsid w:val="00284798"/>
    <w:rPr>
      <w:lang w:val="en-GB"/>
    </w:rPr>
  </w:style>
  <w:style w:type="character" w:styleId="FootnoteReference">
    <w:name w:val="footnote reference"/>
    <w:basedOn w:val="DefaultParagraphFont"/>
    <w:uiPriority w:val="99"/>
    <w:unhideWhenUsed/>
    <w:rsid w:val="00284798"/>
    <w:rPr>
      <w:vertAlign w:val="superscript"/>
    </w:rPr>
  </w:style>
  <w:style w:type="paragraph" w:styleId="ListParagraph">
    <w:name w:val="List Paragraph"/>
    <w:basedOn w:val="Normal"/>
    <w:uiPriority w:val="34"/>
    <w:qFormat/>
    <w:rsid w:val="00DE7340"/>
    <w:pPr>
      <w:ind w:left="720"/>
      <w:contextualSpacing/>
    </w:pPr>
    <w:rPr>
      <w:rFonts w:ascii="Times" w:hAnsi="Times"/>
      <w:sz w:val="20"/>
      <w:szCs w:val="20"/>
    </w:rPr>
  </w:style>
  <w:style w:type="paragraph" w:customStyle="1" w:styleId="Default">
    <w:name w:val="Default"/>
    <w:rsid w:val="00C1065D"/>
    <w:pPr>
      <w:widowControl w:val="0"/>
      <w:autoSpaceDE w:val="0"/>
      <w:autoSpaceDN w:val="0"/>
      <w:adjustRightInd w:val="0"/>
    </w:pPr>
    <w:rPr>
      <w:rFonts w:ascii="Arial" w:hAnsi="Arial" w:cs="Arial"/>
      <w:color w:val="000000"/>
    </w:rPr>
  </w:style>
  <w:style w:type="paragraph" w:styleId="Revision">
    <w:name w:val="Revision"/>
    <w:hidden/>
    <w:uiPriority w:val="99"/>
    <w:semiHidden/>
    <w:rsid w:val="0006560F"/>
    <w:rPr>
      <w:lang w:val="en-GB"/>
    </w:rPr>
  </w:style>
  <w:style w:type="character" w:styleId="Hyperlink">
    <w:name w:val="Hyperlink"/>
    <w:basedOn w:val="DefaultParagraphFont"/>
    <w:uiPriority w:val="99"/>
    <w:unhideWhenUsed/>
    <w:rsid w:val="00297DC5"/>
    <w:rPr>
      <w:color w:val="0000FF" w:themeColor="hyperlink"/>
      <w:u w:val="single"/>
    </w:rPr>
  </w:style>
  <w:style w:type="paragraph" w:styleId="Footer">
    <w:name w:val="footer"/>
    <w:basedOn w:val="Normal"/>
    <w:link w:val="FooterChar"/>
    <w:uiPriority w:val="99"/>
    <w:unhideWhenUsed/>
    <w:rsid w:val="00926D2B"/>
    <w:pPr>
      <w:tabs>
        <w:tab w:val="center" w:pos="4320"/>
        <w:tab w:val="right" w:pos="8640"/>
      </w:tabs>
    </w:pPr>
  </w:style>
  <w:style w:type="character" w:customStyle="1" w:styleId="FooterChar">
    <w:name w:val="Footer Char"/>
    <w:basedOn w:val="DefaultParagraphFont"/>
    <w:link w:val="Footer"/>
    <w:uiPriority w:val="99"/>
    <w:rsid w:val="00926D2B"/>
    <w:rPr>
      <w:lang w:val="en-GB"/>
    </w:rPr>
  </w:style>
  <w:style w:type="character" w:styleId="PageNumber">
    <w:name w:val="page number"/>
    <w:basedOn w:val="DefaultParagraphFont"/>
    <w:uiPriority w:val="99"/>
    <w:semiHidden/>
    <w:unhideWhenUsed/>
    <w:rsid w:val="00926D2B"/>
  </w:style>
  <w:style w:type="paragraph" w:styleId="Header">
    <w:name w:val="header"/>
    <w:basedOn w:val="Normal"/>
    <w:link w:val="HeaderChar"/>
    <w:uiPriority w:val="99"/>
    <w:unhideWhenUsed/>
    <w:rsid w:val="00926D2B"/>
    <w:pPr>
      <w:tabs>
        <w:tab w:val="center" w:pos="4320"/>
        <w:tab w:val="right" w:pos="8640"/>
      </w:tabs>
    </w:pPr>
  </w:style>
  <w:style w:type="character" w:customStyle="1" w:styleId="HeaderChar">
    <w:name w:val="Header Char"/>
    <w:basedOn w:val="DefaultParagraphFont"/>
    <w:link w:val="Header"/>
    <w:uiPriority w:val="99"/>
    <w:rsid w:val="00926D2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33942">
      <w:bodyDiv w:val="1"/>
      <w:marLeft w:val="0"/>
      <w:marRight w:val="0"/>
      <w:marTop w:val="0"/>
      <w:marBottom w:val="0"/>
      <w:divBdr>
        <w:top w:val="none" w:sz="0" w:space="0" w:color="auto"/>
        <w:left w:val="none" w:sz="0" w:space="0" w:color="auto"/>
        <w:bottom w:val="none" w:sz="0" w:space="0" w:color="auto"/>
        <w:right w:val="none" w:sz="0" w:space="0" w:color="auto"/>
      </w:divBdr>
      <w:divsChild>
        <w:div w:id="1757937985">
          <w:marLeft w:val="547"/>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access-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B5B865D-6D4D-E741-866B-E1BBC6C3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14</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Holt</dc:creator>
  <cp:keywords/>
  <dc:description/>
  <cp:lastModifiedBy>Daniel Paul Holt</cp:lastModifiedBy>
  <cp:revision>12</cp:revision>
  <dcterms:created xsi:type="dcterms:W3CDTF">2013-12-12T19:20:00Z</dcterms:created>
  <dcterms:modified xsi:type="dcterms:W3CDTF">2018-06-04T10:45:00Z</dcterms:modified>
</cp:coreProperties>
</file>